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B2D" w:rsidRDefault="002D2B2D" w:rsidP="002D2B2D">
      <w:pPr>
        <w:pStyle w:val="Default"/>
      </w:pPr>
    </w:p>
    <w:p w:rsidR="002D2B2D" w:rsidRDefault="002D2B2D" w:rsidP="002D2B2D">
      <w:pPr>
        <w:jc w:val="center"/>
        <w:rPr>
          <w:sz w:val="32"/>
          <w:szCs w:val="32"/>
        </w:rPr>
      </w:pPr>
    </w:p>
    <w:p w:rsidR="002D2B2D" w:rsidRDefault="002D2B2D" w:rsidP="002D2B2D">
      <w:pPr>
        <w:jc w:val="center"/>
        <w:rPr>
          <w:sz w:val="32"/>
          <w:szCs w:val="32"/>
        </w:rPr>
      </w:pPr>
    </w:p>
    <w:p w:rsidR="002D2B2D" w:rsidRDefault="002D2B2D" w:rsidP="002D2B2D">
      <w:pPr>
        <w:jc w:val="center"/>
        <w:rPr>
          <w:sz w:val="32"/>
          <w:szCs w:val="32"/>
        </w:rPr>
      </w:pPr>
    </w:p>
    <w:p w:rsidR="003D2286" w:rsidRDefault="003D2286" w:rsidP="003D2286">
      <w:pPr>
        <w:jc w:val="center"/>
        <w:rPr>
          <w:sz w:val="32"/>
          <w:szCs w:val="32"/>
        </w:rPr>
      </w:pPr>
      <w:r>
        <w:rPr>
          <w:sz w:val="32"/>
          <w:szCs w:val="32"/>
        </w:rPr>
        <w:t>Corrigendum to the RFP</w:t>
      </w:r>
      <w:r w:rsidR="002D2B2D">
        <w:rPr>
          <w:sz w:val="32"/>
          <w:szCs w:val="32"/>
        </w:rPr>
        <w:t xml:space="preserve"> </w:t>
      </w:r>
    </w:p>
    <w:p w:rsidR="003D2286" w:rsidRDefault="003D2286" w:rsidP="003D2286">
      <w:pPr>
        <w:jc w:val="center"/>
        <w:rPr>
          <w:sz w:val="32"/>
          <w:szCs w:val="32"/>
        </w:rPr>
      </w:pPr>
      <w:r>
        <w:rPr>
          <w:sz w:val="32"/>
          <w:szCs w:val="32"/>
        </w:rPr>
        <w:t>F</w:t>
      </w:r>
      <w:r w:rsidR="002D2B2D">
        <w:rPr>
          <w:sz w:val="32"/>
          <w:szCs w:val="32"/>
        </w:rPr>
        <w:t>or</w:t>
      </w:r>
    </w:p>
    <w:p w:rsidR="003D2286" w:rsidRDefault="002D2B2D" w:rsidP="003D2286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3D2286" w:rsidRPr="003D2286">
        <w:rPr>
          <w:sz w:val="32"/>
          <w:szCs w:val="32"/>
        </w:rPr>
        <w:t>Selection of Consultancy Agency</w:t>
      </w:r>
      <w:r w:rsidR="003D2286">
        <w:rPr>
          <w:sz w:val="32"/>
          <w:szCs w:val="32"/>
        </w:rPr>
        <w:t xml:space="preserve"> </w:t>
      </w:r>
      <w:r w:rsidR="003D2286" w:rsidRPr="003D2286">
        <w:rPr>
          <w:sz w:val="32"/>
          <w:szCs w:val="32"/>
        </w:rPr>
        <w:t xml:space="preserve">for Consulting Support </w:t>
      </w:r>
    </w:p>
    <w:p w:rsidR="003D2286" w:rsidRDefault="003D2286" w:rsidP="003D2286">
      <w:pPr>
        <w:jc w:val="center"/>
        <w:rPr>
          <w:sz w:val="32"/>
          <w:szCs w:val="32"/>
        </w:rPr>
      </w:pPr>
      <w:proofErr w:type="gramStart"/>
      <w:r w:rsidRPr="003D2286">
        <w:rPr>
          <w:sz w:val="32"/>
          <w:szCs w:val="32"/>
        </w:rPr>
        <w:t>for</w:t>
      </w:r>
      <w:proofErr w:type="gramEnd"/>
      <w:r w:rsidRPr="003D2286">
        <w:rPr>
          <w:sz w:val="32"/>
          <w:szCs w:val="32"/>
        </w:rPr>
        <w:t xml:space="preserve"> </w:t>
      </w:r>
    </w:p>
    <w:p w:rsidR="003D2286" w:rsidRPr="003D2286" w:rsidRDefault="003D2286" w:rsidP="003D2286">
      <w:pPr>
        <w:jc w:val="center"/>
        <w:rPr>
          <w:sz w:val="32"/>
          <w:szCs w:val="32"/>
        </w:rPr>
      </w:pPr>
      <w:r w:rsidRPr="003D2286">
        <w:rPr>
          <w:sz w:val="32"/>
          <w:szCs w:val="32"/>
        </w:rPr>
        <w:t xml:space="preserve">State Resident Data </w:t>
      </w:r>
      <w:proofErr w:type="gramStart"/>
      <w:r w:rsidRPr="003D2286">
        <w:rPr>
          <w:sz w:val="32"/>
          <w:szCs w:val="32"/>
        </w:rPr>
        <w:t>Hub(</w:t>
      </w:r>
      <w:proofErr w:type="gramEnd"/>
      <w:r w:rsidRPr="003D2286">
        <w:rPr>
          <w:sz w:val="32"/>
          <w:szCs w:val="32"/>
        </w:rPr>
        <w:t>SRDH) Software Framework</w:t>
      </w:r>
    </w:p>
    <w:p w:rsidR="00235984" w:rsidRDefault="000B1048" w:rsidP="002D2B2D">
      <w:pPr>
        <w:jc w:val="center"/>
        <w:rPr>
          <w:sz w:val="32"/>
          <w:szCs w:val="32"/>
        </w:rPr>
      </w:pPr>
      <w:r>
        <w:rPr>
          <w:sz w:val="32"/>
          <w:szCs w:val="32"/>
        </w:rPr>
        <w:t>Dated 19</w:t>
      </w:r>
      <w:r w:rsidRPr="000B1048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August, 2011</w:t>
      </w:r>
    </w:p>
    <w:p w:rsidR="002D2B2D" w:rsidRDefault="002D2B2D" w:rsidP="002D2B2D">
      <w:pPr>
        <w:jc w:val="center"/>
        <w:rPr>
          <w:sz w:val="32"/>
          <w:szCs w:val="32"/>
        </w:rPr>
      </w:pPr>
      <w:bookmarkStart w:id="0" w:name="_GoBack"/>
      <w:bookmarkEnd w:id="0"/>
    </w:p>
    <w:p w:rsidR="002D2B2D" w:rsidRDefault="002D2B2D" w:rsidP="002D2B2D">
      <w:pPr>
        <w:jc w:val="center"/>
        <w:rPr>
          <w:sz w:val="32"/>
          <w:szCs w:val="32"/>
        </w:rPr>
      </w:pPr>
    </w:p>
    <w:p w:rsidR="002D2B2D" w:rsidRDefault="002D2B2D" w:rsidP="002D2B2D">
      <w:pPr>
        <w:jc w:val="center"/>
        <w:rPr>
          <w:sz w:val="32"/>
          <w:szCs w:val="32"/>
        </w:rPr>
      </w:pPr>
    </w:p>
    <w:p w:rsidR="00A368E4" w:rsidRDefault="00A368E4" w:rsidP="002D2B2D">
      <w:pPr>
        <w:spacing w:after="0"/>
        <w:jc w:val="both"/>
        <w:rPr>
          <w:b/>
          <w:bCs/>
          <w:sz w:val="23"/>
          <w:szCs w:val="23"/>
        </w:rPr>
      </w:pPr>
    </w:p>
    <w:p w:rsidR="002D2B2D" w:rsidRDefault="002D2B2D" w:rsidP="002D2B2D">
      <w:pPr>
        <w:spacing w:after="0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>Consequent upon the pre bid conference that was held on 8</w:t>
      </w:r>
      <w:r w:rsidRPr="002D2B2D">
        <w:rPr>
          <w:b/>
          <w:bCs/>
          <w:sz w:val="23"/>
          <w:szCs w:val="23"/>
          <w:vertAlign w:val="superscript"/>
        </w:rPr>
        <w:t>th</w:t>
      </w:r>
      <w:r>
        <w:rPr>
          <w:b/>
          <w:bCs/>
          <w:sz w:val="23"/>
          <w:szCs w:val="23"/>
        </w:rPr>
        <w:t xml:space="preserve"> August 2011, corrigendum to the</w:t>
      </w:r>
      <w:r w:rsidRPr="002D2B2D">
        <w:rPr>
          <w:b/>
          <w:bCs/>
          <w:sz w:val="23"/>
          <w:szCs w:val="23"/>
        </w:rPr>
        <w:t xml:space="preserve"> RFP for Selection of Consultancy Agency</w:t>
      </w:r>
      <w:r>
        <w:rPr>
          <w:b/>
          <w:bCs/>
          <w:sz w:val="23"/>
          <w:szCs w:val="23"/>
        </w:rPr>
        <w:t xml:space="preserve"> </w:t>
      </w:r>
      <w:r w:rsidRPr="002D2B2D">
        <w:rPr>
          <w:b/>
          <w:bCs/>
          <w:sz w:val="23"/>
          <w:szCs w:val="23"/>
        </w:rPr>
        <w:t>for Consulting Support for State Resident Data Hub(SRDH) Software Framework</w:t>
      </w:r>
      <w:r>
        <w:rPr>
          <w:b/>
          <w:bCs/>
          <w:sz w:val="23"/>
          <w:szCs w:val="23"/>
        </w:rPr>
        <w:t xml:space="preserve"> is issued.</w:t>
      </w:r>
      <w:r w:rsidR="008969EB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T</w:t>
      </w:r>
      <w:r w:rsidRPr="002D2B2D">
        <w:rPr>
          <w:b/>
          <w:bCs/>
          <w:sz w:val="23"/>
          <w:szCs w:val="23"/>
        </w:rPr>
        <w:t>he last date for submission of Bid</w:t>
      </w:r>
      <w:r>
        <w:rPr>
          <w:b/>
          <w:bCs/>
          <w:sz w:val="23"/>
          <w:szCs w:val="23"/>
        </w:rPr>
        <w:t xml:space="preserve"> and other dates</w:t>
      </w:r>
      <w:r w:rsidRPr="002D2B2D">
        <w:rPr>
          <w:b/>
          <w:bCs/>
          <w:sz w:val="23"/>
          <w:szCs w:val="23"/>
        </w:rPr>
        <w:t xml:space="preserve"> ha</w:t>
      </w:r>
      <w:r>
        <w:rPr>
          <w:b/>
          <w:bCs/>
          <w:sz w:val="23"/>
          <w:szCs w:val="23"/>
        </w:rPr>
        <w:t>ve</w:t>
      </w:r>
      <w:r w:rsidRPr="002D2B2D">
        <w:rPr>
          <w:b/>
          <w:bCs/>
          <w:sz w:val="23"/>
          <w:szCs w:val="23"/>
        </w:rPr>
        <w:t xml:space="preserve"> been extended</w:t>
      </w:r>
      <w:r>
        <w:rPr>
          <w:b/>
          <w:bCs/>
          <w:sz w:val="23"/>
          <w:szCs w:val="23"/>
        </w:rPr>
        <w:t xml:space="preserve"> as follows:</w:t>
      </w:r>
    </w:p>
    <w:p w:rsidR="002D2B2D" w:rsidRDefault="002D2B2D" w:rsidP="002D2B2D">
      <w:pPr>
        <w:spacing w:after="0"/>
        <w:jc w:val="both"/>
        <w:rPr>
          <w:b/>
          <w:bCs/>
          <w:sz w:val="23"/>
          <w:szCs w:val="23"/>
        </w:rPr>
      </w:pPr>
    </w:p>
    <w:tbl>
      <w:tblPr>
        <w:tblW w:w="9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78"/>
        <w:gridCol w:w="4259"/>
      </w:tblGrid>
      <w:tr w:rsidR="002D2B2D" w:rsidRPr="00A5222E" w:rsidTr="002D2B2D">
        <w:trPr>
          <w:trHeight w:val="348"/>
        </w:trPr>
        <w:tc>
          <w:tcPr>
            <w:tcW w:w="4878" w:type="dxa"/>
          </w:tcPr>
          <w:p w:rsidR="002D2B2D" w:rsidRPr="002D2B2D" w:rsidRDefault="002D2B2D" w:rsidP="002D2B2D">
            <w:pPr>
              <w:spacing w:after="0"/>
              <w:jc w:val="both"/>
              <w:rPr>
                <w:b/>
                <w:bCs/>
                <w:sz w:val="23"/>
                <w:szCs w:val="23"/>
              </w:rPr>
            </w:pPr>
            <w:r w:rsidRPr="002D2B2D">
              <w:rPr>
                <w:b/>
                <w:bCs/>
                <w:sz w:val="23"/>
                <w:szCs w:val="23"/>
              </w:rPr>
              <w:t>Last date for sale of Tender Document</w:t>
            </w:r>
          </w:p>
        </w:tc>
        <w:tc>
          <w:tcPr>
            <w:tcW w:w="4259" w:type="dxa"/>
          </w:tcPr>
          <w:p w:rsidR="002D2B2D" w:rsidRPr="002D2B2D" w:rsidRDefault="00741B17" w:rsidP="002D2B2D">
            <w:pPr>
              <w:spacing w:after="0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29</w:t>
            </w:r>
            <w:r w:rsidR="002D2B2D" w:rsidRPr="002D2B2D">
              <w:rPr>
                <w:b/>
                <w:bCs/>
                <w:sz w:val="23"/>
                <w:szCs w:val="23"/>
              </w:rPr>
              <w:t>/08/2011    1700 Hrs</w:t>
            </w:r>
          </w:p>
        </w:tc>
      </w:tr>
      <w:tr w:rsidR="002D2B2D" w:rsidRPr="00A5222E" w:rsidTr="002D2B2D">
        <w:trPr>
          <w:trHeight w:val="348"/>
        </w:trPr>
        <w:tc>
          <w:tcPr>
            <w:tcW w:w="4878" w:type="dxa"/>
          </w:tcPr>
          <w:p w:rsidR="002D2B2D" w:rsidRPr="002D2B2D" w:rsidRDefault="002D2B2D" w:rsidP="002D2B2D">
            <w:pPr>
              <w:spacing w:after="0"/>
              <w:jc w:val="both"/>
              <w:rPr>
                <w:b/>
                <w:bCs/>
                <w:sz w:val="23"/>
                <w:szCs w:val="23"/>
              </w:rPr>
            </w:pPr>
            <w:r w:rsidRPr="002D2B2D">
              <w:rPr>
                <w:b/>
                <w:bCs/>
                <w:sz w:val="23"/>
                <w:szCs w:val="23"/>
              </w:rPr>
              <w:t>Date &amp; Time of Submission of Bids</w:t>
            </w:r>
          </w:p>
          <w:p w:rsidR="002D2B2D" w:rsidRPr="002D2B2D" w:rsidRDefault="002D2B2D" w:rsidP="002D2B2D">
            <w:pPr>
              <w:spacing w:after="0"/>
              <w:jc w:val="both"/>
              <w:rPr>
                <w:b/>
                <w:bCs/>
                <w:sz w:val="23"/>
                <w:szCs w:val="23"/>
              </w:rPr>
            </w:pPr>
            <w:r w:rsidRPr="002D2B2D">
              <w:rPr>
                <w:b/>
                <w:bCs/>
                <w:sz w:val="23"/>
                <w:szCs w:val="23"/>
              </w:rPr>
              <w:t>Bids will not be accepted after due date &amp; time.</w:t>
            </w:r>
          </w:p>
        </w:tc>
        <w:tc>
          <w:tcPr>
            <w:tcW w:w="4259" w:type="dxa"/>
          </w:tcPr>
          <w:p w:rsidR="002D2B2D" w:rsidRPr="002D2B2D" w:rsidRDefault="00741B17" w:rsidP="002D2B2D">
            <w:pPr>
              <w:spacing w:after="0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30</w:t>
            </w:r>
            <w:r w:rsidR="002D2B2D" w:rsidRPr="002D2B2D">
              <w:rPr>
                <w:b/>
                <w:bCs/>
                <w:sz w:val="23"/>
                <w:szCs w:val="23"/>
              </w:rPr>
              <w:t>/08/2011    1500 Hrs</w:t>
            </w:r>
          </w:p>
        </w:tc>
      </w:tr>
      <w:tr w:rsidR="002D2B2D" w:rsidRPr="00A5222E" w:rsidTr="002D2B2D">
        <w:trPr>
          <w:trHeight w:val="348"/>
        </w:trPr>
        <w:tc>
          <w:tcPr>
            <w:tcW w:w="4878" w:type="dxa"/>
          </w:tcPr>
          <w:p w:rsidR="002D2B2D" w:rsidRPr="002D2B2D" w:rsidRDefault="002D2B2D" w:rsidP="002D2B2D">
            <w:pPr>
              <w:spacing w:after="0"/>
              <w:jc w:val="both"/>
              <w:rPr>
                <w:b/>
                <w:bCs/>
                <w:sz w:val="23"/>
                <w:szCs w:val="23"/>
              </w:rPr>
            </w:pPr>
            <w:r w:rsidRPr="002D2B2D">
              <w:rPr>
                <w:b/>
                <w:bCs/>
                <w:sz w:val="23"/>
                <w:szCs w:val="23"/>
              </w:rPr>
              <w:t xml:space="preserve">Date &amp; Time of opening of Bids </w:t>
            </w:r>
          </w:p>
        </w:tc>
        <w:tc>
          <w:tcPr>
            <w:tcW w:w="4259" w:type="dxa"/>
          </w:tcPr>
          <w:p w:rsidR="002D2B2D" w:rsidRPr="002D2B2D" w:rsidRDefault="00741B17" w:rsidP="002D2B2D">
            <w:pPr>
              <w:spacing w:after="0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30</w:t>
            </w:r>
            <w:r w:rsidR="002D2B2D" w:rsidRPr="002D2B2D">
              <w:rPr>
                <w:b/>
                <w:bCs/>
                <w:sz w:val="23"/>
                <w:szCs w:val="23"/>
              </w:rPr>
              <w:t>/08/2011    1600 Hrs</w:t>
            </w:r>
          </w:p>
        </w:tc>
      </w:tr>
    </w:tbl>
    <w:p w:rsidR="002D2B2D" w:rsidRDefault="002D2B2D" w:rsidP="002D2B2D">
      <w:pPr>
        <w:spacing w:after="0"/>
        <w:jc w:val="both"/>
        <w:rPr>
          <w:b/>
          <w:bCs/>
          <w:sz w:val="23"/>
          <w:szCs w:val="23"/>
        </w:rPr>
      </w:pPr>
    </w:p>
    <w:tbl>
      <w:tblPr>
        <w:tblW w:w="14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7"/>
        <w:gridCol w:w="1645"/>
        <w:gridCol w:w="1685"/>
        <w:gridCol w:w="5168"/>
        <w:gridCol w:w="5233"/>
      </w:tblGrid>
      <w:tr w:rsidR="00393D3C" w:rsidTr="008969EB">
        <w:trPr>
          <w:trHeight w:val="244"/>
        </w:trPr>
        <w:tc>
          <w:tcPr>
            <w:tcW w:w="0" w:type="auto"/>
          </w:tcPr>
          <w:p w:rsidR="002D2B2D" w:rsidRDefault="002D2B2D" w:rsidP="002A3EA3">
            <w:pPr>
              <w:pStyle w:val="Default"/>
              <w:spacing w:after="100" w:afterAutospacing="1"/>
              <w:rPr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Sl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No </w:t>
            </w:r>
          </w:p>
        </w:tc>
        <w:tc>
          <w:tcPr>
            <w:tcW w:w="1645" w:type="dxa"/>
          </w:tcPr>
          <w:p w:rsidR="002D2B2D" w:rsidRDefault="002D2B2D" w:rsidP="002A3EA3">
            <w:pPr>
              <w:pStyle w:val="Default"/>
              <w:spacing w:after="100" w:afterAutospacing="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Para no</w:t>
            </w:r>
            <w:r w:rsidR="001D4CBE">
              <w:rPr>
                <w:b/>
                <w:bCs/>
                <w:sz w:val="22"/>
                <w:szCs w:val="22"/>
              </w:rPr>
              <w:t>, Section &amp; Vol.</w:t>
            </w:r>
            <w:r>
              <w:rPr>
                <w:b/>
                <w:bCs/>
                <w:sz w:val="22"/>
                <w:szCs w:val="22"/>
              </w:rPr>
              <w:t xml:space="preserve"> of the RF</w:t>
            </w:r>
            <w:r w:rsidR="001D4CBE">
              <w:rPr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1685" w:type="dxa"/>
          </w:tcPr>
          <w:p w:rsidR="002D2B2D" w:rsidRDefault="002D2B2D" w:rsidP="00C52DA1">
            <w:pPr>
              <w:pStyle w:val="Default"/>
              <w:spacing w:after="100" w:afterAutospacing="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Particulars </w:t>
            </w:r>
          </w:p>
        </w:tc>
        <w:tc>
          <w:tcPr>
            <w:tcW w:w="5168" w:type="dxa"/>
          </w:tcPr>
          <w:p w:rsidR="002D2B2D" w:rsidRDefault="002D2B2D" w:rsidP="002A3EA3">
            <w:pPr>
              <w:pStyle w:val="Default"/>
              <w:spacing w:after="100" w:afterAutospacing="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Existing clause/provision </w:t>
            </w:r>
          </w:p>
        </w:tc>
        <w:tc>
          <w:tcPr>
            <w:tcW w:w="5233" w:type="dxa"/>
          </w:tcPr>
          <w:p w:rsidR="002D2B2D" w:rsidRDefault="002D2B2D" w:rsidP="002A3EA3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Revised clause/provision </w:t>
            </w:r>
          </w:p>
        </w:tc>
      </w:tr>
      <w:tr w:rsidR="00393D3C" w:rsidTr="008969EB">
        <w:trPr>
          <w:trHeight w:val="1034"/>
        </w:trPr>
        <w:tc>
          <w:tcPr>
            <w:tcW w:w="0" w:type="auto"/>
          </w:tcPr>
          <w:p w:rsidR="002D2B2D" w:rsidRDefault="003A0C03" w:rsidP="002A3EA3">
            <w:pPr>
              <w:pStyle w:val="Default"/>
              <w:spacing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45" w:type="dxa"/>
          </w:tcPr>
          <w:p w:rsidR="002D2B2D" w:rsidRDefault="00190227" w:rsidP="002A3EA3">
            <w:pPr>
              <w:pStyle w:val="Default"/>
              <w:spacing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3.4, Section 3 Part I, </w:t>
            </w:r>
            <w:proofErr w:type="spellStart"/>
            <w:r>
              <w:rPr>
                <w:sz w:val="22"/>
                <w:szCs w:val="22"/>
              </w:rPr>
              <w:t>Vol</w:t>
            </w:r>
            <w:proofErr w:type="spellEnd"/>
            <w:r>
              <w:rPr>
                <w:sz w:val="22"/>
                <w:szCs w:val="22"/>
              </w:rPr>
              <w:t xml:space="preserve"> I</w:t>
            </w:r>
          </w:p>
        </w:tc>
        <w:tc>
          <w:tcPr>
            <w:tcW w:w="1685" w:type="dxa"/>
          </w:tcPr>
          <w:p w:rsidR="002D2B2D" w:rsidRDefault="00190227" w:rsidP="00C52DA1">
            <w:pPr>
              <w:spacing w:after="100" w:afterAutospacing="1" w:line="240" w:lineRule="auto"/>
            </w:pPr>
            <w:r w:rsidRPr="00190227">
              <w:rPr>
                <w:lang w:val="en-GB"/>
              </w:rPr>
              <w:t>Technical Proposal Format and Content</w:t>
            </w:r>
          </w:p>
        </w:tc>
        <w:tc>
          <w:tcPr>
            <w:tcW w:w="5168" w:type="dxa"/>
          </w:tcPr>
          <w:p w:rsidR="002D2B2D" w:rsidRDefault="00190227" w:rsidP="002A3EA3">
            <w:pPr>
              <w:spacing w:after="100" w:afterAutospacing="1" w:line="240" w:lineRule="auto"/>
              <w:jc w:val="both"/>
            </w:pPr>
            <w:r w:rsidRPr="009C0F53">
              <w:rPr>
                <w:lang w:val="en-GB"/>
              </w:rPr>
              <w:t xml:space="preserve">The Technical Proposal shall provide the information indicated in the following </w:t>
            </w:r>
            <w:proofErr w:type="spellStart"/>
            <w:r w:rsidRPr="009C0F53">
              <w:rPr>
                <w:lang w:val="en-GB"/>
              </w:rPr>
              <w:t>paras</w:t>
            </w:r>
            <w:proofErr w:type="spellEnd"/>
            <w:r w:rsidRPr="009C0F53">
              <w:rPr>
                <w:lang w:val="en-GB"/>
              </w:rPr>
              <w:t xml:space="preserve"> from (a) to (d) using the attached Standard Forms (Section 4).</w:t>
            </w:r>
          </w:p>
        </w:tc>
        <w:tc>
          <w:tcPr>
            <w:tcW w:w="5233" w:type="dxa"/>
          </w:tcPr>
          <w:p w:rsidR="002D2B2D" w:rsidRDefault="00190227" w:rsidP="002A3EA3">
            <w:pPr>
              <w:jc w:val="both"/>
            </w:pPr>
            <w:r w:rsidRPr="009C0F53">
              <w:rPr>
                <w:lang w:val="en-GB"/>
              </w:rPr>
              <w:t>The Technical Proposal shall provide the information indicated in th</w:t>
            </w:r>
            <w:r>
              <w:rPr>
                <w:lang w:val="en-GB"/>
              </w:rPr>
              <w:t xml:space="preserve">e following </w:t>
            </w:r>
            <w:proofErr w:type="spellStart"/>
            <w:r>
              <w:rPr>
                <w:lang w:val="en-GB"/>
              </w:rPr>
              <w:t>paras</w:t>
            </w:r>
            <w:proofErr w:type="spellEnd"/>
            <w:r>
              <w:rPr>
                <w:lang w:val="en-GB"/>
              </w:rPr>
              <w:t xml:space="preserve"> from (a) to (c</w:t>
            </w:r>
            <w:r w:rsidRPr="009C0F53">
              <w:rPr>
                <w:lang w:val="en-GB"/>
              </w:rPr>
              <w:t>) using the attached Standard Forms (Section 4).</w:t>
            </w:r>
          </w:p>
        </w:tc>
      </w:tr>
      <w:tr w:rsidR="00393D3C" w:rsidTr="008969EB">
        <w:trPr>
          <w:trHeight w:val="971"/>
        </w:trPr>
        <w:tc>
          <w:tcPr>
            <w:tcW w:w="0" w:type="auto"/>
          </w:tcPr>
          <w:p w:rsidR="00190227" w:rsidRDefault="003A0C03" w:rsidP="002A3EA3">
            <w:pPr>
              <w:pStyle w:val="Default"/>
              <w:spacing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45" w:type="dxa"/>
          </w:tcPr>
          <w:p w:rsidR="00190227" w:rsidRDefault="002A3EA3" w:rsidP="002A3EA3">
            <w:pPr>
              <w:pStyle w:val="Default"/>
              <w:spacing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3.4(C), Section 3 Part I, </w:t>
            </w:r>
            <w:proofErr w:type="spellStart"/>
            <w:r>
              <w:rPr>
                <w:sz w:val="22"/>
                <w:szCs w:val="22"/>
              </w:rPr>
              <w:t>Vol</w:t>
            </w:r>
            <w:proofErr w:type="spellEnd"/>
            <w:r>
              <w:rPr>
                <w:sz w:val="22"/>
                <w:szCs w:val="22"/>
              </w:rPr>
              <w:t xml:space="preserve"> I</w:t>
            </w:r>
          </w:p>
        </w:tc>
        <w:tc>
          <w:tcPr>
            <w:tcW w:w="1685" w:type="dxa"/>
          </w:tcPr>
          <w:p w:rsidR="00190227" w:rsidRPr="00190227" w:rsidRDefault="002A3EA3" w:rsidP="00C52DA1">
            <w:pPr>
              <w:spacing w:after="100" w:afterAutospacing="1" w:line="240" w:lineRule="auto"/>
              <w:rPr>
                <w:lang w:val="en-GB"/>
              </w:rPr>
            </w:pPr>
            <w:r w:rsidRPr="00190227">
              <w:rPr>
                <w:lang w:val="en-GB"/>
              </w:rPr>
              <w:t>Technical Proposal Format and Conten</w:t>
            </w:r>
            <w:r>
              <w:rPr>
                <w:lang w:val="en-GB"/>
              </w:rPr>
              <w:t>t</w:t>
            </w:r>
          </w:p>
        </w:tc>
        <w:tc>
          <w:tcPr>
            <w:tcW w:w="5168" w:type="dxa"/>
          </w:tcPr>
          <w:p w:rsidR="00190227" w:rsidRPr="009C0F53" w:rsidRDefault="00190227" w:rsidP="002A3EA3">
            <w:pPr>
              <w:spacing w:after="100" w:afterAutospacing="1" w:line="240" w:lineRule="auto"/>
              <w:jc w:val="both"/>
              <w:rPr>
                <w:lang w:val="en-GB"/>
              </w:rPr>
            </w:pPr>
            <w:r w:rsidRPr="00A5222E">
              <w:rPr>
                <w:lang w:val="en-GB"/>
              </w:rPr>
              <w:t>CVs of the</w:t>
            </w:r>
            <w:r w:rsidRPr="00A5222E">
              <w:rPr>
                <w:b/>
                <w:lang w:val="en-GB"/>
              </w:rPr>
              <w:t xml:space="preserve"> Professional staff</w:t>
            </w:r>
            <w:r w:rsidRPr="00A5222E">
              <w:rPr>
                <w:lang w:val="en-GB"/>
              </w:rPr>
              <w:t xml:space="preserve"> signed by the respective professional </w:t>
            </w:r>
            <w:r>
              <w:rPr>
                <w:lang w:val="en-GB"/>
              </w:rPr>
              <w:t>staff</w:t>
            </w:r>
            <w:r w:rsidRPr="00A5222E">
              <w:rPr>
                <w:lang w:val="en-GB"/>
              </w:rPr>
              <w:t xml:space="preserve"> and by the authorized representative of the Professional Staff</w:t>
            </w:r>
            <w:r w:rsidR="002A3EA3">
              <w:rPr>
                <w:lang w:val="en-GB"/>
              </w:rPr>
              <w:t>.</w:t>
            </w:r>
          </w:p>
        </w:tc>
        <w:tc>
          <w:tcPr>
            <w:tcW w:w="5233" w:type="dxa"/>
          </w:tcPr>
          <w:p w:rsidR="00190227" w:rsidRPr="009C0F53" w:rsidRDefault="00190227" w:rsidP="002A3EA3">
            <w:pPr>
              <w:jc w:val="both"/>
              <w:rPr>
                <w:lang w:val="en-GB"/>
              </w:rPr>
            </w:pPr>
            <w:r w:rsidRPr="00A5222E">
              <w:rPr>
                <w:lang w:val="en-GB"/>
              </w:rPr>
              <w:t>CVs of the</w:t>
            </w:r>
            <w:r w:rsidRPr="00A5222E">
              <w:rPr>
                <w:b/>
                <w:lang w:val="en-GB"/>
              </w:rPr>
              <w:t xml:space="preserve"> Professional staff</w:t>
            </w:r>
            <w:r w:rsidRPr="00A5222E">
              <w:rPr>
                <w:lang w:val="en-GB"/>
              </w:rPr>
              <w:t xml:space="preserve"> signed by the respective professional </w:t>
            </w:r>
            <w:r>
              <w:rPr>
                <w:lang w:val="en-GB"/>
              </w:rPr>
              <w:t>staff</w:t>
            </w:r>
            <w:r w:rsidRPr="00A5222E">
              <w:rPr>
                <w:lang w:val="en-GB"/>
              </w:rPr>
              <w:t xml:space="preserve"> </w:t>
            </w:r>
            <w:r>
              <w:rPr>
                <w:lang w:val="en-GB"/>
              </w:rPr>
              <w:t>or</w:t>
            </w:r>
            <w:r w:rsidRPr="00A5222E">
              <w:rPr>
                <w:lang w:val="en-GB"/>
              </w:rPr>
              <w:t xml:space="preserve"> by the authorized representative of the Professional Staff</w:t>
            </w:r>
            <w:r w:rsidR="002A3EA3">
              <w:rPr>
                <w:lang w:val="en-GB"/>
              </w:rPr>
              <w:t>.</w:t>
            </w:r>
          </w:p>
        </w:tc>
      </w:tr>
      <w:tr w:rsidR="003A0C03" w:rsidTr="008969EB">
        <w:trPr>
          <w:trHeight w:val="908"/>
        </w:trPr>
        <w:tc>
          <w:tcPr>
            <w:tcW w:w="0" w:type="auto"/>
          </w:tcPr>
          <w:p w:rsidR="003A0C03" w:rsidRDefault="003A0C03" w:rsidP="002A3EA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45" w:type="dxa"/>
          </w:tcPr>
          <w:p w:rsidR="003A0C03" w:rsidRDefault="003A0C03" w:rsidP="005F4D89">
            <w:pPr>
              <w:pStyle w:val="Default"/>
              <w:spacing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3.6, Section 3 Part II, </w:t>
            </w:r>
            <w:proofErr w:type="spellStart"/>
            <w:r>
              <w:rPr>
                <w:sz w:val="22"/>
                <w:szCs w:val="22"/>
              </w:rPr>
              <w:t>Vol</w:t>
            </w:r>
            <w:proofErr w:type="spellEnd"/>
            <w:r>
              <w:rPr>
                <w:sz w:val="22"/>
                <w:szCs w:val="22"/>
              </w:rPr>
              <w:t xml:space="preserve"> I</w:t>
            </w:r>
          </w:p>
        </w:tc>
        <w:tc>
          <w:tcPr>
            <w:tcW w:w="1685" w:type="dxa"/>
          </w:tcPr>
          <w:p w:rsidR="003A0C03" w:rsidRDefault="003A0C03" w:rsidP="005F4D89">
            <w:pPr>
              <w:pStyle w:val="Default"/>
              <w:spacing w:after="100" w:afterAutospacing="1"/>
              <w:rPr>
                <w:sz w:val="22"/>
                <w:szCs w:val="22"/>
              </w:rPr>
            </w:pPr>
            <w:r w:rsidRPr="00190227">
              <w:rPr>
                <w:sz w:val="22"/>
                <w:szCs w:val="22"/>
              </w:rPr>
              <w:t xml:space="preserve">Terms of Payments  </w:t>
            </w:r>
          </w:p>
        </w:tc>
        <w:tc>
          <w:tcPr>
            <w:tcW w:w="5168" w:type="dxa"/>
          </w:tcPr>
          <w:p w:rsidR="003A0C03" w:rsidRDefault="003A0C03" w:rsidP="005F4D89">
            <w:pPr>
              <w:pStyle w:val="Default"/>
              <w:spacing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Table 1 in Annexure</w:t>
            </w:r>
          </w:p>
        </w:tc>
        <w:tc>
          <w:tcPr>
            <w:tcW w:w="5233" w:type="dxa"/>
          </w:tcPr>
          <w:p w:rsidR="003A0C03" w:rsidRDefault="003A0C03" w:rsidP="005F4D8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Table 2 in Annexure</w:t>
            </w:r>
          </w:p>
        </w:tc>
      </w:tr>
      <w:tr w:rsidR="003A0C03" w:rsidTr="008969EB">
        <w:trPr>
          <w:trHeight w:val="908"/>
        </w:trPr>
        <w:tc>
          <w:tcPr>
            <w:tcW w:w="0" w:type="auto"/>
          </w:tcPr>
          <w:p w:rsidR="003A0C03" w:rsidRDefault="003A0C03" w:rsidP="002A3EA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45" w:type="dxa"/>
          </w:tcPr>
          <w:p w:rsidR="003A0C03" w:rsidRDefault="003A0C03" w:rsidP="002A3EA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16, Form Tech-4, Section 4,  </w:t>
            </w:r>
            <w:proofErr w:type="spellStart"/>
            <w:r>
              <w:rPr>
                <w:sz w:val="22"/>
                <w:szCs w:val="22"/>
              </w:rPr>
              <w:t>Vol</w:t>
            </w:r>
            <w:proofErr w:type="spellEnd"/>
            <w:r>
              <w:rPr>
                <w:sz w:val="22"/>
                <w:szCs w:val="22"/>
              </w:rPr>
              <w:t xml:space="preserve"> I</w:t>
            </w:r>
          </w:p>
        </w:tc>
        <w:tc>
          <w:tcPr>
            <w:tcW w:w="1685" w:type="dxa"/>
          </w:tcPr>
          <w:p w:rsidR="003A0C03" w:rsidRPr="00190227" w:rsidRDefault="003A0C03" w:rsidP="00C52DA1">
            <w:pPr>
              <w:spacing w:after="100" w:afterAutospacing="1" w:line="240" w:lineRule="auto"/>
              <w:rPr>
                <w:lang w:val="en-GB"/>
              </w:rPr>
            </w:pPr>
            <w:r>
              <w:rPr>
                <w:lang w:val="en-GB"/>
              </w:rPr>
              <w:t>Technical Proposal – Standard Forms</w:t>
            </w:r>
          </w:p>
        </w:tc>
        <w:tc>
          <w:tcPr>
            <w:tcW w:w="5168" w:type="dxa"/>
          </w:tcPr>
          <w:p w:rsidR="003A0C03" w:rsidRPr="00A5222E" w:rsidRDefault="003A0C03" w:rsidP="002A3EA3">
            <w:pPr>
              <w:jc w:val="both"/>
              <w:rPr>
                <w:lang w:val="en-GB"/>
              </w:rPr>
            </w:pPr>
            <w:r w:rsidRPr="00A5222E">
              <w:rPr>
                <w:i/>
                <w:sz w:val="20"/>
                <w:lang w:val="en-GB"/>
              </w:rPr>
              <w:t>[Signature of staff member and authorized representative of the staff]</w:t>
            </w:r>
          </w:p>
        </w:tc>
        <w:tc>
          <w:tcPr>
            <w:tcW w:w="5233" w:type="dxa"/>
          </w:tcPr>
          <w:p w:rsidR="003A0C03" w:rsidRPr="00A5222E" w:rsidRDefault="003A0C03" w:rsidP="002A3EA3">
            <w:pPr>
              <w:jc w:val="both"/>
              <w:rPr>
                <w:lang w:val="en-GB"/>
              </w:rPr>
            </w:pPr>
            <w:r w:rsidRPr="00A5222E">
              <w:rPr>
                <w:i/>
                <w:sz w:val="20"/>
                <w:lang w:val="en-GB"/>
              </w:rPr>
              <w:t xml:space="preserve">[Signature of staff member </w:t>
            </w:r>
            <w:r>
              <w:rPr>
                <w:i/>
                <w:sz w:val="20"/>
                <w:lang w:val="en-GB"/>
              </w:rPr>
              <w:t>or</w:t>
            </w:r>
            <w:r w:rsidRPr="00A5222E">
              <w:rPr>
                <w:i/>
                <w:sz w:val="20"/>
                <w:lang w:val="en-GB"/>
              </w:rPr>
              <w:t xml:space="preserve"> authorized representative of the staff]</w:t>
            </w:r>
          </w:p>
        </w:tc>
      </w:tr>
      <w:tr w:rsidR="003A0C03" w:rsidTr="008969EB">
        <w:trPr>
          <w:trHeight w:val="1340"/>
        </w:trPr>
        <w:tc>
          <w:tcPr>
            <w:tcW w:w="0" w:type="auto"/>
          </w:tcPr>
          <w:p w:rsidR="003A0C03" w:rsidRDefault="003A0C03" w:rsidP="002A3EA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1645" w:type="dxa"/>
          </w:tcPr>
          <w:p w:rsidR="003A0C03" w:rsidRDefault="003A0C03" w:rsidP="002A3EA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6.3, 1.2 </w:t>
            </w:r>
            <w:r w:rsidR="008540E4">
              <w:rPr>
                <w:sz w:val="22"/>
                <w:szCs w:val="22"/>
              </w:rPr>
              <w:t>General</w:t>
            </w:r>
            <w:r>
              <w:rPr>
                <w:sz w:val="22"/>
                <w:szCs w:val="22"/>
              </w:rPr>
              <w:t xml:space="preserve"> Conditions of Contract, </w:t>
            </w:r>
            <w:proofErr w:type="spellStart"/>
            <w:r>
              <w:rPr>
                <w:sz w:val="22"/>
                <w:szCs w:val="22"/>
              </w:rPr>
              <w:t>Vol</w:t>
            </w:r>
            <w:proofErr w:type="spellEnd"/>
            <w:r>
              <w:rPr>
                <w:sz w:val="22"/>
                <w:szCs w:val="22"/>
              </w:rPr>
              <w:t xml:space="preserve"> II</w:t>
            </w:r>
          </w:p>
        </w:tc>
        <w:tc>
          <w:tcPr>
            <w:tcW w:w="1685" w:type="dxa"/>
          </w:tcPr>
          <w:p w:rsidR="003A0C03" w:rsidRDefault="003A0C03" w:rsidP="00C52DA1">
            <w:pPr>
              <w:tabs>
                <w:tab w:val="left" w:pos="540"/>
              </w:tabs>
              <w:spacing w:after="220"/>
              <w:ind w:right="-72"/>
              <w:rPr>
                <w:lang w:val="en-GB"/>
              </w:rPr>
            </w:pPr>
            <w:r>
              <w:rPr>
                <w:lang w:val="en-GB"/>
              </w:rPr>
              <w:t>Terms of Payment</w:t>
            </w:r>
          </w:p>
        </w:tc>
        <w:tc>
          <w:tcPr>
            <w:tcW w:w="5168" w:type="dxa"/>
          </w:tcPr>
          <w:p w:rsidR="003A0C03" w:rsidRDefault="003A0C03" w:rsidP="00393D3C">
            <w:pPr>
              <w:widowControl w:val="0"/>
              <w:autoSpaceDE w:val="0"/>
              <w:autoSpaceDN w:val="0"/>
              <w:adjustRightInd w:val="0"/>
              <w:spacing w:after="110"/>
              <w:ind w:right="867"/>
              <w:jc w:val="both"/>
              <w:rPr>
                <w:rFonts w:ascii="Times New Roman" w:hAnsi="Times New Roman"/>
                <w:i/>
                <w:spacing w:val="-4"/>
              </w:rPr>
            </w:pPr>
            <w:r w:rsidRPr="00393D3C">
              <w:rPr>
                <w:rFonts w:ascii="Times New Roman" w:hAnsi="Times New Roman"/>
              </w:rPr>
              <w:t xml:space="preserve">The Consultant shall submit the invoice for </w:t>
            </w:r>
            <w:r>
              <w:rPr>
                <w:rFonts w:ascii="Times New Roman" w:hAnsi="Times New Roman"/>
              </w:rPr>
              <w:t>p</w:t>
            </w:r>
            <w:r w:rsidRPr="00393D3C">
              <w:rPr>
                <w:rFonts w:ascii="Times New Roman" w:hAnsi="Times New Roman"/>
              </w:rPr>
              <w:t>ayment when the payment is due on a monthly</w:t>
            </w:r>
            <w:r>
              <w:rPr>
                <w:rFonts w:ascii="Times New Roman" w:hAnsi="Times New Roman"/>
              </w:rPr>
              <w:t xml:space="preserve"> </w:t>
            </w:r>
            <w:r w:rsidRPr="00393D3C">
              <w:rPr>
                <w:rFonts w:ascii="Times New Roman" w:hAnsi="Times New Roman"/>
              </w:rPr>
              <w:t xml:space="preserve">basis, and </w:t>
            </w:r>
            <w:r w:rsidRPr="00393D3C">
              <w:rPr>
                <w:rFonts w:ascii="Times New Roman" w:hAnsi="Times New Roman"/>
                <w:spacing w:val="-4"/>
              </w:rPr>
              <w:t xml:space="preserve">the deliverable list submitted by consulting resources of </w:t>
            </w:r>
            <w:r w:rsidRPr="00393D3C">
              <w:rPr>
                <w:rFonts w:ascii="Times New Roman" w:hAnsi="Times New Roman"/>
                <w:i/>
                <w:spacing w:val="-4"/>
              </w:rPr>
              <w:t>&lt;name of the bidder&gt;</w:t>
            </w:r>
            <w:r w:rsidRPr="00393D3C">
              <w:rPr>
                <w:rFonts w:ascii="Times New Roman" w:hAnsi="Times New Roman"/>
                <w:spacing w:val="-4"/>
              </w:rPr>
              <w:t xml:space="preserve"> to </w:t>
            </w:r>
            <w:r w:rsidRPr="00393D3C">
              <w:rPr>
                <w:rFonts w:ascii="Times New Roman" w:hAnsi="Times New Roman"/>
                <w:i/>
                <w:spacing w:val="-4"/>
              </w:rPr>
              <w:t>&lt;name of the purchaser&gt;</w:t>
            </w:r>
          </w:p>
          <w:p w:rsidR="003A0C03" w:rsidRPr="00A5222E" w:rsidRDefault="003A0C03" w:rsidP="008969EB">
            <w:pPr>
              <w:tabs>
                <w:tab w:val="left" w:pos="540"/>
              </w:tabs>
              <w:spacing w:after="220"/>
              <w:ind w:right="-72"/>
              <w:jc w:val="both"/>
              <w:rPr>
                <w:i/>
                <w:sz w:val="20"/>
                <w:lang w:val="en-GB"/>
              </w:rPr>
            </w:pPr>
            <w:r w:rsidRPr="00490778">
              <w:t>The payment shall be released on receipt of invoice on monthly basis.</w:t>
            </w:r>
          </w:p>
        </w:tc>
        <w:tc>
          <w:tcPr>
            <w:tcW w:w="5233" w:type="dxa"/>
          </w:tcPr>
          <w:p w:rsidR="003A0C03" w:rsidRDefault="003A0C03" w:rsidP="00C52DA1">
            <w:pPr>
              <w:widowControl w:val="0"/>
              <w:autoSpaceDE w:val="0"/>
              <w:autoSpaceDN w:val="0"/>
              <w:adjustRightInd w:val="0"/>
              <w:spacing w:after="110"/>
              <w:ind w:right="867"/>
              <w:jc w:val="both"/>
              <w:rPr>
                <w:rFonts w:ascii="Times New Roman" w:eastAsia="Verdana" w:hAnsi="Times New Roman"/>
                <w:i/>
              </w:rPr>
            </w:pPr>
            <w:r w:rsidRPr="00393D3C">
              <w:rPr>
                <w:rFonts w:ascii="Times New Roman" w:hAnsi="Times New Roman"/>
              </w:rPr>
              <w:t xml:space="preserve">The Consultant shall submit the invoice for </w:t>
            </w:r>
            <w:r>
              <w:rPr>
                <w:rFonts w:ascii="Times New Roman" w:hAnsi="Times New Roman"/>
              </w:rPr>
              <w:t>p</w:t>
            </w:r>
            <w:r w:rsidRPr="00393D3C">
              <w:rPr>
                <w:rFonts w:ascii="Times New Roman" w:hAnsi="Times New Roman"/>
              </w:rPr>
              <w:t xml:space="preserve">ayment when the payment is due </w:t>
            </w:r>
            <w:r>
              <w:rPr>
                <w:rFonts w:ascii="Times New Roman" w:hAnsi="Times New Roman"/>
              </w:rPr>
              <w:t xml:space="preserve">against </w:t>
            </w:r>
            <w:r w:rsidRPr="00393D3C">
              <w:rPr>
                <w:rFonts w:ascii="Times New Roman" w:hAnsi="Times New Roman"/>
                <w:spacing w:val="-4"/>
              </w:rPr>
              <w:t xml:space="preserve">the deliverable list submitted by consulting resources of </w:t>
            </w:r>
            <w:r w:rsidRPr="00393D3C">
              <w:rPr>
                <w:rFonts w:ascii="Times New Roman" w:hAnsi="Times New Roman"/>
                <w:i/>
                <w:spacing w:val="-4"/>
              </w:rPr>
              <w:t>&lt;name of the bidder&gt;</w:t>
            </w:r>
            <w:r w:rsidRPr="00393D3C">
              <w:rPr>
                <w:rFonts w:ascii="Times New Roman" w:hAnsi="Times New Roman"/>
                <w:spacing w:val="-4"/>
              </w:rPr>
              <w:t xml:space="preserve"> to </w:t>
            </w:r>
            <w:r w:rsidRPr="00393D3C">
              <w:rPr>
                <w:rFonts w:ascii="Times New Roman" w:hAnsi="Times New Roman"/>
                <w:i/>
                <w:spacing w:val="-4"/>
              </w:rPr>
              <w:t>&lt;name of the purchaser&gt;</w:t>
            </w:r>
          </w:p>
          <w:p w:rsidR="003A0C03" w:rsidRPr="00A5222E" w:rsidRDefault="003A0C03" w:rsidP="008969EB">
            <w:pPr>
              <w:widowControl w:val="0"/>
              <w:autoSpaceDE w:val="0"/>
              <w:autoSpaceDN w:val="0"/>
              <w:adjustRightInd w:val="0"/>
              <w:ind w:right="-15"/>
              <w:rPr>
                <w:i/>
                <w:sz w:val="20"/>
                <w:lang w:val="en-GB"/>
              </w:rPr>
            </w:pPr>
            <w:r w:rsidRPr="00A5222E">
              <w:t xml:space="preserve">Payment will be made on deliverables / completion of mile stones on </w:t>
            </w:r>
            <w:proofErr w:type="gramStart"/>
            <w:r w:rsidRPr="00A5222E">
              <w:t>raising  invoice</w:t>
            </w:r>
            <w:proofErr w:type="gramEnd"/>
            <w:r>
              <w:t xml:space="preserve"> as per Table 2 in Annexure.</w:t>
            </w:r>
          </w:p>
        </w:tc>
      </w:tr>
      <w:tr w:rsidR="003A0C03" w:rsidTr="008E3A4A">
        <w:trPr>
          <w:trHeight w:val="2600"/>
        </w:trPr>
        <w:tc>
          <w:tcPr>
            <w:tcW w:w="0" w:type="auto"/>
          </w:tcPr>
          <w:p w:rsidR="003A0C03" w:rsidRDefault="003A0C03" w:rsidP="00C52DA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645" w:type="dxa"/>
          </w:tcPr>
          <w:p w:rsidR="003A0C03" w:rsidRDefault="003A0C03" w:rsidP="00C52DA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6.3, 1.3 Special Conditions of Contract, </w:t>
            </w:r>
            <w:proofErr w:type="spellStart"/>
            <w:r>
              <w:rPr>
                <w:sz w:val="22"/>
                <w:szCs w:val="22"/>
              </w:rPr>
              <w:t>Vol</w:t>
            </w:r>
            <w:proofErr w:type="spellEnd"/>
            <w:r>
              <w:rPr>
                <w:sz w:val="22"/>
                <w:szCs w:val="22"/>
              </w:rPr>
              <w:t xml:space="preserve"> II</w:t>
            </w:r>
          </w:p>
        </w:tc>
        <w:tc>
          <w:tcPr>
            <w:tcW w:w="1685" w:type="dxa"/>
          </w:tcPr>
          <w:p w:rsidR="003A0C03" w:rsidRPr="00393D3C" w:rsidRDefault="003A0C03" w:rsidP="008E3A4A">
            <w:pPr>
              <w:widowControl w:val="0"/>
              <w:autoSpaceDE w:val="0"/>
              <w:autoSpaceDN w:val="0"/>
              <w:adjustRightInd w:val="0"/>
              <w:ind w:left="102"/>
              <w:rPr>
                <w:rFonts w:ascii="Times New Roman" w:hAnsi="Times New Roman"/>
              </w:rPr>
            </w:pPr>
            <w:r w:rsidRPr="00C52DA1">
              <w:rPr>
                <w:bCs/>
                <w:spacing w:val="-1"/>
              </w:rPr>
              <w:t>G</w:t>
            </w:r>
            <w:r w:rsidRPr="00C52DA1">
              <w:rPr>
                <w:bCs/>
              </w:rPr>
              <w:t xml:space="preserve">eneral </w:t>
            </w:r>
            <w:r w:rsidRPr="00C52DA1">
              <w:rPr>
                <w:bCs/>
                <w:spacing w:val="1"/>
              </w:rPr>
              <w:t>t</w:t>
            </w:r>
            <w:r w:rsidRPr="00C52DA1">
              <w:rPr>
                <w:bCs/>
                <w:spacing w:val="-2"/>
              </w:rPr>
              <w:t>e</w:t>
            </w:r>
            <w:r w:rsidRPr="00C52DA1">
              <w:rPr>
                <w:bCs/>
              </w:rPr>
              <w:t>r</w:t>
            </w:r>
            <w:r w:rsidRPr="00C52DA1">
              <w:rPr>
                <w:bCs/>
                <w:spacing w:val="1"/>
              </w:rPr>
              <w:t>m</w:t>
            </w:r>
            <w:r w:rsidRPr="00C52DA1">
              <w:rPr>
                <w:bCs/>
              </w:rPr>
              <w:t>s and con</w:t>
            </w:r>
            <w:r w:rsidRPr="00C52DA1">
              <w:rPr>
                <w:bCs/>
                <w:spacing w:val="-3"/>
              </w:rPr>
              <w:t>d</w:t>
            </w:r>
            <w:r w:rsidRPr="00C52DA1">
              <w:rPr>
                <w:bCs/>
                <w:spacing w:val="1"/>
              </w:rPr>
              <w:t>i</w:t>
            </w:r>
            <w:r w:rsidRPr="00C52DA1">
              <w:rPr>
                <w:bCs/>
                <w:spacing w:val="-2"/>
              </w:rPr>
              <w:t>t</w:t>
            </w:r>
            <w:r w:rsidRPr="00C52DA1">
              <w:rPr>
                <w:bCs/>
                <w:spacing w:val="1"/>
              </w:rPr>
              <w:t>i</w:t>
            </w:r>
            <w:r w:rsidRPr="00C52DA1">
              <w:rPr>
                <w:bCs/>
              </w:rPr>
              <w:t xml:space="preserve">ons </w:t>
            </w:r>
            <w:r w:rsidRPr="00C52DA1">
              <w:rPr>
                <w:bCs/>
                <w:spacing w:val="-2"/>
              </w:rPr>
              <w:t>o</w:t>
            </w:r>
            <w:r w:rsidRPr="00C52DA1">
              <w:rPr>
                <w:bCs/>
              </w:rPr>
              <w:t xml:space="preserve">f </w:t>
            </w:r>
            <w:r w:rsidRPr="00C52DA1">
              <w:rPr>
                <w:bCs/>
                <w:spacing w:val="2"/>
              </w:rPr>
              <w:t>P</w:t>
            </w:r>
            <w:r w:rsidRPr="00C52DA1">
              <w:rPr>
                <w:bCs/>
              </w:rPr>
              <w:t>a</w:t>
            </w:r>
            <w:r w:rsidRPr="00C52DA1">
              <w:rPr>
                <w:bCs/>
                <w:spacing w:val="-2"/>
              </w:rPr>
              <w:t>y</w:t>
            </w:r>
            <w:r w:rsidRPr="00C52DA1">
              <w:rPr>
                <w:bCs/>
                <w:spacing w:val="1"/>
              </w:rPr>
              <w:t>m</w:t>
            </w:r>
            <w:r w:rsidRPr="00C52DA1">
              <w:rPr>
                <w:bCs/>
              </w:rPr>
              <w:t>e</w:t>
            </w:r>
            <w:r w:rsidRPr="00C52DA1">
              <w:rPr>
                <w:bCs/>
                <w:spacing w:val="-2"/>
              </w:rPr>
              <w:t>n</w:t>
            </w:r>
            <w:r w:rsidRPr="00C52DA1">
              <w:rPr>
                <w:bCs/>
              </w:rPr>
              <w:t>t Sched</w:t>
            </w:r>
            <w:r w:rsidRPr="00C52DA1">
              <w:rPr>
                <w:bCs/>
                <w:spacing w:val="-3"/>
              </w:rPr>
              <w:t>u</w:t>
            </w:r>
            <w:r w:rsidRPr="00C52DA1">
              <w:rPr>
                <w:bCs/>
                <w:spacing w:val="1"/>
              </w:rPr>
              <w:t>l</w:t>
            </w:r>
            <w:r w:rsidRPr="00C52DA1">
              <w:rPr>
                <w:bCs/>
              </w:rPr>
              <w:t>e</w:t>
            </w:r>
          </w:p>
        </w:tc>
        <w:tc>
          <w:tcPr>
            <w:tcW w:w="5168" w:type="dxa"/>
          </w:tcPr>
          <w:p w:rsidR="003A0C03" w:rsidRDefault="003A0C03" w:rsidP="00C52DA1">
            <w:pPr>
              <w:jc w:val="both"/>
              <w:rPr>
                <w:i/>
                <w:spacing w:val="-4"/>
              </w:rPr>
            </w:pPr>
            <w:r>
              <w:t>1)</w:t>
            </w:r>
            <w:r w:rsidRPr="00490778">
              <w:rPr>
                <w:spacing w:val="-1"/>
              </w:rPr>
              <w:t xml:space="preserve"> A</w:t>
            </w:r>
            <w:r w:rsidRPr="00490778">
              <w:rPr>
                <w:spacing w:val="1"/>
              </w:rPr>
              <w:t>l</w:t>
            </w:r>
            <w:r w:rsidRPr="00490778">
              <w:t>l</w:t>
            </w:r>
            <w:r>
              <w:t xml:space="preserve"> </w:t>
            </w:r>
            <w:r w:rsidRPr="00490778">
              <w:t>pa</w:t>
            </w:r>
            <w:r w:rsidRPr="00490778">
              <w:rPr>
                <w:spacing w:val="-2"/>
              </w:rPr>
              <w:t>y</w:t>
            </w:r>
            <w:r w:rsidRPr="00490778">
              <w:rPr>
                <w:spacing w:val="-4"/>
              </w:rPr>
              <w:t>m</w:t>
            </w:r>
            <w:r w:rsidRPr="00490778">
              <w:t>en</w:t>
            </w:r>
            <w:r w:rsidRPr="00490778">
              <w:rPr>
                <w:spacing w:val="1"/>
              </w:rPr>
              <w:t>t</w:t>
            </w:r>
            <w:r w:rsidRPr="00490778">
              <w:t xml:space="preserve">s </w:t>
            </w:r>
            <w:r w:rsidRPr="00490778">
              <w:rPr>
                <w:spacing w:val="1"/>
              </w:rPr>
              <w:t>s</w:t>
            </w:r>
            <w:r w:rsidRPr="00490778">
              <w:t>h</w:t>
            </w:r>
            <w:r w:rsidRPr="00490778">
              <w:rPr>
                <w:spacing w:val="-2"/>
              </w:rPr>
              <w:t>a</w:t>
            </w:r>
            <w:r w:rsidRPr="00490778">
              <w:rPr>
                <w:spacing w:val="-1"/>
              </w:rPr>
              <w:t>l</w:t>
            </w:r>
            <w:r w:rsidRPr="00490778">
              <w:t>l</w:t>
            </w:r>
            <w:r>
              <w:t xml:space="preserve"> </w:t>
            </w:r>
            <w:r w:rsidRPr="00490778">
              <w:t xml:space="preserve">be </w:t>
            </w:r>
            <w:r w:rsidRPr="00490778">
              <w:rPr>
                <w:spacing w:val="-3"/>
              </w:rPr>
              <w:t>m</w:t>
            </w:r>
            <w:r w:rsidRPr="00490778">
              <w:t>ade</w:t>
            </w:r>
            <w:r>
              <w:t xml:space="preserve"> </w:t>
            </w:r>
            <w:r w:rsidRPr="00490778">
              <w:t>by</w:t>
            </w:r>
            <w:r>
              <w:t xml:space="preserve"> </w:t>
            </w:r>
            <w:r w:rsidRPr="00490778">
              <w:rPr>
                <w:spacing w:val="1"/>
              </w:rPr>
              <w:t>t</w:t>
            </w:r>
            <w:r w:rsidRPr="00490778">
              <w:t>he Purchaser</w:t>
            </w:r>
            <w:r>
              <w:t xml:space="preserve"> </w:t>
            </w:r>
            <w:r w:rsidRPr="00490778">
              <w:rPr>
                <w:spacing w:val="1"/>
              </w:rPr>
              <w:t>i</w:t>
            </w:r>
            <w:r w:rsidRPr="00490778">
              <w:t xml:space="preserve">n </w:t>
            </w:r>
            <w:proofErr w:type="spellStart"/>
            <w:r w:rsidRPr="00490778">
              <w:rPr>
                <w:spacing w:val="-2"/>
              </w:rPr>
              <w:t>f</w:t>
            </w:r>
            <w:r w:rsidRPr="00490778">
              <w:t>a</w:t>
            </w:r>
            <w:r w:rsidRPr="00490778">
              <w:rPr>
                <w:spacing w:val="-2"/>
              </w:rPr>
              <w:t>v</w:t>
            </w:r>
            <w:r w:rsidRPr="00490778">
              <w:t>our</w:t>
            </w:r>
            <w:proofErr w:type="spellEnd"/>
            <w:r>
              <w:t xml:space="preserve"> </w:t>
            </w:r>
            <w:r w:rsidRPr="00490778">
              <w:t>of</w:t>
            </w:r>
            <w:r w:rsidRPr="00490778">
              <w:rPr>
                <w:spacing w:val="1"/>
              </w:rPr>
              <w:t xml:space="preserve"> t</w:t>
            </w:r>
            <w:r w:rsidRPr="00490778">
              <w:rPr>
                <w:spacing w:val="-2"/>
              </w:rPr>
              <w:t>h</w:t>
            </w:r>
            <w:r w:rsidRPr="00490778">
              <w:t xml:space="preserve">e </w:t>
            </w:r>
            <w:r w:rsidRPr="00490778">
              <w:rPr>
                <w:spacing w:val="-4"/>
              </w:rPr>
              <w:t xml:space="preserve">Consultant after invoice is raised by consultant on monthly basis against the deliverable list submitted by consulting resources of </w:t>
            </w:r>
            <w:r w:rsidRPr="00490778">
              <w:rPr>
                <w:i/>
                <w:spacing w:val="-4"/>
              </w:rPr>
              <w:t>&lt;name of the bidder&gt;</w:t>
            </w:r>
            <w:r w:rsidRPr="00490778">
              <w:rPr>
                <w:spacing w:val="-4"/>
              </w:rPr>
              <w:t xml:space="preserve"> to </w:t>
            </w:r>
            <w:r w:rsidRPr="00490778">
              <w:rPr>
                <w:i/>
                <w:spacing w:val="-4"/>
              </w:rPr>
              <w:t>&lt;name of the purchaser&gt;</w:t>
            </w:r>
          </w:p>
          <w:p w:rsidR="00E23564" w:rsidRPr="00AA330A" w:rsidRDefault="00E23564" w:rsidP="00C52DA1">
            <w:pPr>
              <w:widowControl w:val="0"/>
              <w:autoSpaceDE w:val="0"/>
              <w:autoSpaceDN w:val="0"/>
              <w:adjustRightInd w:val="0"/>
              <w:spacing w:after="0"/>
              <w:ind w:left="102"/>
              <w:jc w:val="both"/>
              <w:rPr>
                <w:b/>
                <w:bCs/>
                <w:spacing w:val="2"/>
                <w:sz w:val="20"/>
                <w:szCs w:val="20"/>
                <w:u w:val="thick"/>
              </w:rPr>
            </w:pPr>
          </w:p>
          <w:p w:rsidR="00E23564" w:rsidRPr="00AA330A" w:rsidRDefault="00E23564" w:rsidP="00C52DA1">
            <w:pPr>
              <w:widowControl w:val="0"/>
              <w:autoSpaceDE w:val="0"/>
              <w:autoSpaceDN w:val="0"/>
              <w:adjustRightInd w:val="0"/>
              <w:spacing w:after="0"/>
              <w:ind w:left="102"/>
              <w:jc w:val="both"/>
              <w:rPr>
                <w:b/>
                <w:bCs/>
                <w:spacing w:val="2"/>
                <w:sz w:val="20"/>
                <w:szCs w:val="20"/>
                <w:u w:val="thick"/>
              </w:rPr>
            </w:pPr>
          </w:p>
          <w:p w:rsidR="00AA330A" w:rsidRPr="00AA330A" w:rsidRDefault="00AA330A" w:rsidP="00C52DA1">
            <w:pPr>
              <w:widowControl w:val="0"/>
              <w:autoSpaceDE w:val="0"/>
              <w:autoSpaceDN w:val="0"/>
              <w:adjustRightInd w:val="0"/>
              <w:spacing w:after="0"/>
              <w:ind w:left="102"/>
              <w:jc w:val="both"/>
              <w:rPr>
                <w:b/>
                <w:bCs/>
                <w:spacing w:val="2"/>
                <w:sz w:val="20"/>
                <w:szCs w:val="20"/>
                <w:u w:val="thick"/>
              </w:rPr>
            </w:pPr>
          </w:p>
          <w:p w:rsidR="00AA330A" w:rsidRPr="00AA330A" w:rsidRDefault="00AA330A" w:rsidP="00C52DA1">
            <w:pPr>
              <w:widowControl w:val="0"/>
              <w:autoSpaceDE w:val="0"/>
              <w:autoSpaceDN w:val="0"/>
              <w:adjustRightInd w:val="0"/>
              <w:spacing w:after="0"/>
              <w:ind w:left="102"/>
              <w:jc w:val="both"/>
              <w:rPr>
                <w:b/>
                <w:bCs/>
                <w:spacing w:val="2"/>
                <w:sz w:val="20"/>
                <w:szCs w:val="20"/>
                <w:u w:val="thick"/>
              </w:rPr>
            </w:pPr>
          </w:p>
          <w:p w:rsidR="00AA330A" w:rsidRPr="00AA330A" w:rsidRDefault="00AA330A" w:rsidP="00C52DA1">
            <w:pPr>
              <w:widowControl w:val="0"/>
              <w:autoSpaceDE w:val="0"/>
              <w:autoSpaceDN w:val="0"/>
              <w:adjustRightInd w:val="0"/>
              <w:spacing w:after="0"/>
              <w:ind w:left="102"/>
              <w:jc w:val="both"/>
              <w:rPr>
                <w:b/>
                <w:bCs/>
                <w:spacing w:val="2"/>
                <w:sz w:val="20"/>
                <w:szCs w:val="20"/>
                <w:u w:val="thick"/>
              </w:rPr>
            </w:pPr>
          </w:p>
          <w:p w:rsidR="00E23564" w:rsidRPr="00AA330A" w:rsidRDefault="00E23564" w:rsidP="00C52DA1">
            <w:pPr>
              <w:widowControl w:val="0"/>
              <w:autoSpaceDE w:val="0"/>
              <w:autoSpaceDN w:val="0"/>
              <w:adjustRightInd w:val="0"/>
              <w:spacing w:after="0"/>
              <w:ind w:left="102"/>
              <w:jc w:val="both"/>
              <w:rPr>
                <w:b/>
                <w:bCs/>
                <w:spacing w:val="2"/>
                <w:sz w:val="20"/>
                <w:szCs w:val="20"/>
                <w:u w:val="thick"/>
              </w:rPr>
            </w:pPr>
          </w:p>
          <w:p w:rsidR="00E23564" w:rsidRPr="00AA330A" w:rsidRDefault="00E23564" w:rsidP="00C52DA1">
            <w:pPr>
              <w:widowControl w:val="0"/>
              <w:autoSpaceDE w:val="0"/>
              <w:autoSpaceDN w:val="0"/>
              <w:adjustRightInd w:val="0"/>
              <w:spacing w:after="0"/>
              <w:ind w:left="102"/>
              <w:jc w:val="both"/>
              <w:rPr>
                <w:b/>
                <w:bCs/>
                <w:spacing w:val="2"/>
                <w:sz w:val="20"/>
                <w:szCs w:val="20"/>
                <w:u w:val="thick"/>
              </w:rPr>
            </w:pPr>
          </w:p>
          <w:p w:rsidR="003A0C03" w:rsidRDefault="003A0C03" w:rsidP="00C52DA1">
            <w:pPr>
              <w:widowControl w:val="0"/>
              <w:autoSpaceDE w:val="0"/>
              <w:autoSpaceDN w:val="0"/>
              <w:adjustRightInd w:val="0"/>
              <w:spacing w:after="0"/>
              <w:ind w:left="102"/>
              <w:jc w:val="both"/>
              <w:rPr>
                <w:b/>
                <w:bCs/>
                <w:u w:val="thick"/>
              </w:rPr>
            </w:pPr>
            <w:r w:rsidRPr="00490778">
              <w:rPr>
                <w:b/>
                <w:bCs/>
                <w:spacing w:val="2"/>
                <w:u w:val="thick"/>
              </w:rPr>
              <w:t>P</w:t>
            </w:r>
            <w:r w:rsidRPr="00490778">
              <w:rPr>
                <w:b/>
                <w:bCs/>
                <w:u w:val="thick"/>
              </w:rPr>
              <w:t>a</w:t>
            </w:r>
            <w:r w:rsidRPr="00490778">
              <w:rPr>
                <w:b/>
                <w:bCs/>
                <w:spacing w:val="-2"/>
                <w:u w:val="thick"/>
              </w:rPr>
              <w:t>y</w:t>
            </w:r>
            <w:r w:rsidRPr="00490778">
              <w:rPr>
                <w:b/>
                <w:bCs/>
                <w:spacing w:val="1"/>
                <w:u w:val="thick"/>
              </w:rPr>
              <w:t>m</w:t>
            </w:r>
            <w:r w:rsidRPr="00490778">
              <w:rPr>
                <w:b/>
                <w:bCs/>
                <w:u w:val="thick"/>
              </w:rPr>
              <w:t>e</w:t>
            </w:r>
            <w:r w:rsidRPr="00490778">
              <w:rPr>
                <w:b/>
                <w:bCs/>
                <w:spacing w:val="-2"/>
                <w:u w:val="thick"/>
              </w:rPr>
              <w:t>n</w:t>
            </w:r>
            <w:r w:rsidRPr="00490778">
              <w:rPr>
                <w:b/>
                <w:bCs/>
                <w:u w:val="thick"/>
              </w:rPr>
              <w:t>t</w:t>
            </w:r>
            <w:r>
              <w:rPr>
                <w:b/>
                <w:bCs/>
                <w:u w:val="thick"/>
              </w:rPr>
              <w:t xml:space="preserve"> </w:t>
            </w:r>
            <w:r w:rsidRPr="00490778">
              <w:rPr>
                <w:b/>
                <w:bCs/>
                <w:u w:val="thick"/>
              </w:rPr>
              <w:t>Sched</w:t>
            </w:r>
            <w:r w:rsidRPr="00490778">
              <w:rPr>
                <w:b/>
                <w:bCs/>
                <w:spacing w:val="-3"/>
                <w:u w:val="thick"/>
              </w:rPr>
              <w:t>u</w:t>
            </w:r>
            <w:r w:rsidRPr="00490778">
              <w:rPr>
                <w:b/>
                <w:bCs/>
                <w:spacing w:val="1"/>
                <w:u w:val="thick"/>
              </w:rPr>
              <w:t>l</w:t>
            </w:r>
            <w:r w:rsidRPr="00490778">
              <w:rPr>
                <w:b/>
                <w:bCs/>
                <w:u w:val="thick"/>
              </w:rPr>
              <w:t>e</w:t>
            </w:r>
          </w:p>
          <w:p w:rsidR="003A0C03" w:rsidRPr="00490778" w:rsidRDefault="003A0C03" w:rsidP="00C52DA1">
            <w:pPr>
              <w:widowControl w:val="0"/>
              <w:autoSpaceDE w:val="0"/>
              <w:autoSpaceDN w:val="0"/>
              <w:adjustRightInd w:val="0"/>
              <w:spacing w:after="0"/>
              <w:ind w:left="102"/>
              <w:jc w:val="both"/>
            </w:pPr>
            <w:r w:rsidRPr="00490778">
              <w:t>Monthly Basis after completion of every month of services by the consulting resource</w:t>
            </w:r>
          </w:p>
        </w:tc>
        <w:tc>
          <w:tcPr>
            <w:tcW w:w="5233" w:type="dxa"/>
          </w:tcPr>
          <w:p w:rsidR="003A0C03" w:rsidRPr="009C2F05" w:rsidRDefault="003A0C03" w:rsidP="00C52DA1">
            <w:pPr>
              <w:jc w:val="both"/>
              <w:rPr>
                <w:spacing w:val="-4"/>
                <w:sz w:val="16"/>
                <w:szCs w:val="16"/>
              </w:rPr>
            </w:pPr>
            <w:r>
              <w:t>1)</w:t>
            </w:r>
            <w:r w:rsidRPr="00490778">
              <w:rPr>
                <w:spacing w:val="-1"/>
              </w:rPr>
              <w:t xml:space="preserve"> A</w:t>
            </w:r>
            <w:r w:rsidRPr="00490778">
              <w:rPr>
                <w:spacing w:val="1"/>
              </w:rPr>
              <w:t>l</w:t>
            </w:r>
            <w:r w:rsidRPr="00490778">
              <w:t>l</w:t>
            </w:r>
            <w:r>
              <w:t xml:space="preserve"> </w:t>
            </w:r>
            <w:r w:rsidRPr="00490778">
              <w:t>pa</w:t>
            </w:r>
            <w:r w:rsidRPr="00490778">
              <w:rPr>
                <w:spacing w:val="-2"/>
              </w:rPr>
              <w:t>y</w:t>
            </w:r>
            <w:r w:rsidRPr="00490778">
              <w:rPr>
                <w:spacing w:val="-4"/>
              </w:rPr>
              <w:t>m</w:t>
            </w:r>
            <w:r w:rsidRPr="00490778">
              <w:t>en</w:t>
            </w:r>
            <w:r w:rsidRPr="00490778">
              <w:rPr>
                <w:spacing w:val="1"/>
              </w:rPr>
              <w:t>t</w:t>
            </w:r>
            <w:r w:rsidRPr="00490778">
              <w:t xml:space="preserve">s </w:t>
            </w:r>
            <w:r w:rsidRPr="00490778">
              <w:rPr>
                <w:spacing w:val="1"/>
              </w:rPr>
              <w:t>s</w:t>
            </w:r>
            <w:r w:rsidRPr="00490778">
              <w:t>h</w:t>
            </w:r>
            <w:r w:rsidRPr="00490778">
              <w:rPr>
                <w:spacing w:val="-2"/>
              </w:rPr>
              <w:t>a</w:t>
            </w:r>
            <w:r w:rsidRPr="00490778">
              <w:rPr>
                <w:spacing w:val="-1"/>
              </w:rPr>
              <w:t>l</w:t>
            </w:r>
            <w:r w:rsidRPr="00490778">
              <w:t>l</w:t>
            </w:r>
            <w:r>
              <w:t xml:space="preserve"> </w:t>
            </w:r>
            <w:r w:rsidRPr="00490778">
              <w:t xml:space="preserve">be </w:t>
            </w:r>
            <w:r w:rsidRPr="00490778">
              <w:rPr>
                <w:spacing w:val="-3"/>
              </w:rPr>
              <w:t>m</w:t>
            </w:r>
            <w:r w:rsidRPr="00490778">
              <w:t>ade</w:t>
            </w:r>
            <w:r>
              <w:t xml:space="preserve"> </w:t>
            </w:r>
            <w:r w:rsidRPr="00490778">
              <w:t>by</w:t>
            </w:r>
            <w:r>
              <w:t xml:space="preserve"> </w:t>
            </w:r>
            <w:r w:rsidRPr="00490778">
              <w:rPr>
                <w:spacing w:val="1"/>
              </w:rPr>
              <w:t>t</w:t>
            </w:r>
            <w:r w:rsidRPr="00490778">
              <w:t>he Purchaser</w:t>
            </w:r>
            <w:r>
              <w:t xml:space="preserve"> </w:t>
            </w:r>
            <w:r w:rsidRPr="00490778">
              <w:rPr>
                <w:spacing w:val="1"/>
              </w:rPr>
              <w:t>i</w:t>
            </w:r>
            <w:r w:rsidRPr="00490778">
              <w:t xml:space="preserve">n </w:t>
            </w:r>
            <w:proofErr w:type="spellStart"/>
            <w:r w:rsidRPr="00490778">
              <w:rPr>
                <w:spacing w:val="-2"/>
              </w:rPr>
              <w:t>f</w:t>
            </w:r>
            <w:r w:rsidRPr="00490778">
              <w:t>a</w:t>
            </w:r>
            <w:r w:rsidRPr="00490778">
              <w:rPr>
                <w:spacing w:val="-2"/>
              </w:rPr>
              <w:t>v</w:t>
            </w:r>
            <w:r w:rsidRPr="00490778">
              <w:t>our</w:t>
            </w:r>
            <w:proofErr w:type="spellEnd"/>
            <w:r>
              <w:t xml:space="preserve"> </w:t>
            </w:r>
            <w:r w:rsidRPr="00490778">
              <w:t>of</w:t>
            </w:r>
            <w:r w:rsidRPr="00490778">
              <w:rPr>
                <w:spacing w:val="1"/>
              </w:rPr>
              <w:t xml:space="preserve"> t</w:t>
            </w:r>
            <w:r w:rsidRPr="00490778">
              <w:rPr>
                <w:spacing w:val="-2"/>
              </w:rPr>
              <w:t>h</w:t>
            </w:r>
            <w:r w:rsidRPr="00490778">
              <w:t xml:space="preserve">e </w:t>
            </w:r>
            <w:r w:rsidRPr="00490778">
              <w:rPr>
                <w:spacing w:val="-4"/>
              </w:rPr>
              <w:t xml:space="preserve">Consultant after invoice is raised by consultant against the deliverable list submitted by consulting resources of </w:t>
            </w:r>
            <w:r w:rsidRPr="00490778">
              <w:rPr>
                <w:i/>
                <w:spacing w:val="-4"/>
              </w:rPr>
              <w:t>&lt;name of the bidder&gt;</w:t>
            </w:r>
            <w:r w:rsidRPr="00490778">
              <w:rPr>
                <w:spacing w:val="-4"/>
              </w:rPr>
              <w:t xml:space="preserve"> to </w:t>
            </w:r>
            <w:r w:rsidRPr="00490778">
              <w:rPr>
                <w:i/>
                <w:spacing w:val="-4"/>
              </w:rPr>
              <w:t>&lt;name of the purchaser&gt;</w:t>
            </w:r>
            <w:r w:rsidR="000F42DB">
              <w:rPr>
                <w:i/>
                <w:spacing w:val="-4"/>
              </w:rPr>
              <w:t xml:space="preserve">. </w:t>
            </w:r>
            <w:r w:rsidR="009C2F05" w:rsidRPr="009C2F05">
              <w:rPr>
                <w:spacing w:val="-4"/>
              </w:rPr>
              <w:t>It is ordinarily expected that the project will be completed within the stipulated time period of 6 months. However due to unforeseen reasons, if</w:t>
            </w:r>
            <w:r w:rsidR="000F42DB" w:rsidRPr="009C2F05">
              <w:rPr>
                <w:spacing w:val="-4"/>
              </w:rPr>
              <w:t xml:space="preserve"> the time period of the project is extended beyond 6 months due to reasons not attributable </w:t>
            </w:r>
            <w:r w:rsidR="00B17953" w:rsidRPr="009C2F05">
              <w:rPr>
                <w:spacing w:val="-4"/>
              </w:rPr>
              <w:t>to consultant and incase consultant</w:t>
            </w:r>
            <w:r w:rsidR="000F42DB" w:rsidRPr="009C2F05">
              <w:rPr>
                <w:spacing w:val="-4"/>
              </w:rPr>
              <w:t xml:space="preserve"> </w:t>
            </w:r>
            <w:r w:rsidR="009C2F05" w:rsidRPr="009C2F05">
              <w:rPr>
                <w:spacing w:val="-4"/>
              </w:rPr>
              <w:t xml:space="preserve">service is required </w:t>
            </w:r>
            <w:r w:rsidR="00B17953" w:rsidRPr="009C2F05">
              <w:rPr>
                <w:spacing w:val="-4"/>
              </w:rPr>
              <w:t xml:space="preserve">for this extended period, </w:t>
            </w:r>
            <w:r w:rsidR="009C2F05" w:rsidRPr="009C2F05">
              <w:rPr>
                <w:spacing w:val="-4"/>
              </w:rPr>
              <w:t xml:space="preserve">UIDAI will accordingly decide on remuneration to be paid to </w:t>
            </w:r>
            <w:r w:rsidR="00B17953" w:rsidRPr="009C2F05">
              <w:rPr>
                <w:spacing w:val="-4"/>
              </w:rPr>
              <w:t>consultant</w:t>
            </w:r>
            <w:r w:rsidR="009C2F05" w:rsidRPr="009C2F05">
              <w:rPr>
                <w:spacing w:val="-4"/>
              </w:rPr>
              <w:t>.</w:t>
            </w:r>
          </w:p>
          <w:p w:rsidR="003A0C03" w:rsidRDefault="003A0C03" w:rsidP="00C52DA1">
            <w:pPr>
              <w:spacing w:after="0"/>
              <w:jc w:val="both"/>
              <w:rPr>
                <w:b/>
                <w:bCs/>
                <w:u w:val="thick"/>
              </w:rPr>
            </w:pPr>
            <w:r w:rsidRPr="00490778">
              <w:rPr>
                <w:b/>
                <w:bCs/>
                <w:spacing w:val="2"/>
                <w:u w:val="thick"/>
              </w:rPr>
              <w:t>P</w:t>
            </w:r>
            <w:r w:rsidRPr="00490778">
              <w:rPr>
                <w:b/>
                <w:bCs/>
                <w:u w:val="thick"/>
              </w:rPr>
              <w:t>a</w:t>
            </w:r>
            <w:r w:rsidRPr="00490778">
              <w:rPr>
                <w:b/>
                <w:bCs/>
                <w:spacing w:val="-2"/>
                <w:u w:val="thick"/>
              </w:rPr>
              <w:t>y</w:t>
            </w:r>
            <w:r w:rsidRPr="00490778">
              <w:rPr>
                <w:b/>
                <w:bCs/>
                <w:spacing w:val="1"/>
                <w:u w:val="thick"/>
              </w:rPr>
              <w:t>m</w:t>
            </w:r>
            <w:r w:rsidRPr="00490778">
              <w:rPr>
                <w:b/>
                <w:bCs/>
                <w:u w:val="thick"/>
              </w:rPr>
              <w:t>e</w:t>
            </w:r>
            <w:r w:rsidRPr="00490778">
              <w:rPr>
                <w:b/>
                <w:bCs/>
                <w:spacing w:val="-2"/>
                <w:u w:val="thick"/>
              </w:rPr>
              <w:t>n</w:t>
            </w:r>
            <w:r w:rsidRPr="00490778">
              <w:rPr>
                <w:b/>
                <w:bCs/>
                <w:u w:val="thick"/>
              </w:rPr>
              <w:t>t</w:t>
            </w:r>
            <w:r>
              <w:rPr>
                <w:b/>
                <w:bCs/>
                <w:u w:val="thick"/>
              </w:rPr>
              <w:t xml:space="preserve"> </w:t>
            </w:r>
            <w:r w:rsidRPr="00490778">
              <w:rPr>
                <w:b/>
                <w:bCs/>
                <w:u w:val="thick"/>
              </w:rPr>
              <w:t>Sched</w:t>
            </w:r>
            <w:r w:rsidRPr="00490778">
              <w:rPr>
                <w:b/>
                <w:bCs/>
                <w:spacing w:val="-3"/>
                <w:u w:val="thick"/>
              </w:rPr>
              <w:t>u</w:t>
            </w:r>
            <w:r w:rsidRPr="00490778">
              <w:rPr>
                <w:b/>
                <w:bCs/>
                <w:spacing w:val="1"/>
                <w:u w:val="thick"/>
              </w:rPr>
              <w:t>l</w:t>
            </w:r>
            <w:r w:rsidRPr="00490778">
              <w:rPr>
                <w:b/>
                <w:bCs/>
                <w:u w:val="thick"/>
              </w:rPr>
              <w:t>e</w:t>
            </w:r>
          </w:p>
          <w:p w:rsidR="003A0C03" w:rsidRPr="00C52DA1" w:rsidRDefault="003A0C03" w:rsidP="00C52DA1">
            <w:pPr>
              <w:spacing w:after="0"/>
              <w:jc w:val="both"/>
              <w:rPr>
                <w:bCs/>
              </w:rPr>
            </w:pPr>
            <w:r w:rsidRPr="00C52DA1">
              <w:rPr>
                <w:bCs/>
              </w:rPr>
              <w:t>As per Table 2 in Annexure</w:t>
            </w:r>
          </w:p>
          <w:p w:rsidR="003A0C03" w:rsidRDefault="003A0C03" w:rsidP="00C52DA1">
            <w:pPr>
              <w:spacing w:after="0"/>
              <w:jc w:val="both"/>
              <w:rPr>
                <w:i/>
                <w:spacing w:val="-4"/>
              </w:rPr>
            </w:pPr>
          </w:p>
          <w:p w:rsidR="003A0C03" w:rsidRPr="00A5222E" w:rsidRDefault="003A0C03" w:rsidP="00C52DA1">
            <w:pPr>
              <w:jc w:val="both"/>
              <w:rPr>
                <w:i/>
                <w:sz w:val="20"/>
                <w:lang w:val="en-GB"/>
              </w:rPr>
            </w:pPr>
          </w:p>
        </w:tc>
      </w:tr>
    </w:tbl>
    <w:p w:rsidR="002D2B2D" w:rsidRDefault="002D2B2D" w:rsidP="00C52DA1">
      <w:pPr>
        <w:spacing w:after="0" w:line="240" w:lineRule="auto"/>
        <w:jc w:val="both"/>
        <w:rPr>
          <w:b/>
          <w:bCs/>
          <w:sz w:val="23"/>
          <w:szCs w:val="23"/>
        </w:rPr>
      </w:pPr>
    </w:p>
    <w:p w:rsidR="008E3A4A" w:rsidRDefault="008E3A4A" w:rsidP="008E3A4A">
      <w:pPr>
        <w:widowControl w:val="0"/>
        <w:autoSpaceDE w:val="0"/>
        <w:autoSpaceDN w:val="0"/>
        <w:adjustRightInd w:val="0"/>
        <w:spacing w:after="0"/>
        <w:ind w:right="-15"/>
        <w:rPr>
          <w:b/>
          <w:bCs/>
          <w:sz w:val="23"/>
          <w:szCs w:val="23"/>
        </w:rPr>
      </w:pPr>
    </w:p>
    <w:p w:rsidR="008E3A4A" w:rsidRDefault="008E3A4A" w:rsidP="008E3A4A">
      <w:pPr>
        <w:widowControl w:val="0"/>
        <w:autoSpaceDE w:val="0"/>
        <w:autoSpaceDN w:val="0"/>
        <w:adjustRightInd w:val="0"/>
        <w:spacing w:after="0"/>
        <w:ind w:right="-15"/>
        <w:rPr>
          <w:b/>
          <w:bCs/>
          <w:sz w:val="23"/>
          <w:szCs w:val="23"/>
        </w:rPr>
      </w:pPr>
    </w:p>
    <w:p w:rsidR="008E3A4A" w:rsidRPr="008E3A4A" w:rsidRDefault="00F52C01" w:rsidP="008E3A4A">
      <w:pPr>
        <w:widowControl w:val="0"/>
        <w:autoSpaceDE w:val="0"/>
        <w:autoSpaceDN w:val="0"/>
        <w:adjustRightInd w:val="0"/>
        <w:spacing w:after="0"/>
        <w:ind w:right="-15"/>
        <w:jc w:val="center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  <w:lastRenderedPageBreak/>
        <w:t>A</w:t>
      </w:r>
      <w:r w:rsidR="008E3A4A" w:rsidRPr="008E3A4A">
        <w:rPr>
          <w:b/>
          <w:bCs/>
          <w:sz w:val="23"/>
          <w:szCs w:val="23"/>
          <w:u w:val="single"/>
        </w:rPr>
        <w:t>nnexure</w:t>
      </w:r>
    </w:p>
    <w:p w:rsidR="008E3A4A" w:rsidRDefault="008E3A4A" w:rsidP="008E3A4A">
      <w:pPr>
        <w:widowControl w:val="0"/>
        <w:autoSpaceDE w:val="0"/>
        <w:autoSpaceDN w:val="0"/>
        <w:adjustRightInd w:val="0"/>
        <w:spacing w:after="0"/>
        <w:ind w:right="-15"/>
      </w:pPr>
      <w:r>
        <w:rPr>
          <w:b/>
          <w:bCs/>
          <w:sz w:val="23"/>
          <w:szCs w:val="23"/>
        </w:rPr>
        <w:t>Table 1</w:t>
      </w:r>
      <w:r w:rsidR="00AF455C">
        <w:rPr>
          <w:b/>
          <w:bCs/>
          <w:sz w:val="23"/>
          <w:szCs w:val="23"/>
        </w:rPr>
        <w:t xml:space="preserve"> (</w:t>
      </w:r>
      <w:r w:rsidR="00AF455C">
        <w:rPr>
          <w:b/>
          <w:bCs/>
        </w:rPr>
        <w:t>Existing clause/provision</w:t>
      </w:r>
      <w:r w:rsidR="00AF455C">
        <w:rPr>
          <w:b/>
          <w:bCs/>
          <w:sz w:val="23"/>
          <w:szCs w:val="23"/>
        </w:rPr>
        <w:t>)</w:t>
      </w:r>
    </w:p>
    <w:p w:rsidR="008E3A4A" w:rsidRPr="00A5222E" w:rsidRDefault="008E3A4A" w:rsidP="008E3A4A">
      <w:pPr>
        <w:widowControl w:val="0"/>
        <w:autoSpaceDE w:val="0"/>
        <w:autoSpaceDN w:val="0"/>
        <w:adjustRightInd w:val="0"/>
        <w:spacing w:after="0"/>
        <w:ind w:right="-15"/>
      </w:pPr>
      <w:r w:rsidRPr="00A5222E">
        <w:t xml:space="preserve">Resource cost would be reimbursed at the rates for Tier 1 consultants, as decided by UIDAI at the time of empanelment, and as mentioned below: </w:t>
      </w:r>
    </w:p>
    <w:p w:rsidR="008E3A4A" w:rsidRPr="00A5222E" w:rsidRDefault="008E3A4A" w:rsidP="008E3A4A">
      <w:pPr>
        <w:widowControl w:val="0"/>
        <w:autoSpaceDE w:val="0"/>
        <w:autoSpaceDN w:val="0"/>
        <w:adjustRightInd w:val="0"/>
        <w:spacing w:after="0"/>
        <w:ind w:right="-15"/>
      </w:pPr>
      <w:r w:rsidRPr="00A5222E">
        <w:t>Principal consultant: Rs. 3, 10,000p.m.</w:t>
      </w:r>
    </w:p>
    <w:p w:rsidR="008E3A4A" w:rsidRPr="00A5222E" w:rsidRDefault="008E3A4A" w:rsidP="008E3A4A">
      <w:pPr>
        <w:widowControl w:val="0"/>
        <w:autoSpaceDE w:val="0"/>
        <w:autoSpaceDN w:val="0"/>
        <w:adjustRightInd w:val="0"/>
        <w:spacing w:after="0"/>
        <w:ind w:right="-15"/>
      </w:pPr>
      <w:r>
        <w:t>C</w:t>
      </w:r>
      <w:r w:rsidRPr="00A5222E">
        <w:t>onsultants               : Rs. 2, 20,000p.m.</w:t>
      </w:r>
    </w:p>
    <w:p w:rsidR="008E3A4A" w:rsidRPr="00A5222E" w:rsidRDefault="008E3A4A" w:rsidP="008E3A4A">
      <w:pPr>
        <w:widowControl w:val="0"/>
        <w:autoSpaceDE w:val="0"/>
        <w:autoSpaceDN w:val="0"/>
        <w:adjustRightInd w:val="0"/>
        <w:spacing w:after="0"/>
        <w:ind w:right="-15"/>
      </w:pPr>
      <w:r w:rsidRPr="00A5222E">
        <w:t xml:space="preserve">Payment will be made to selected bidder on deliverables / completion of mile stones on </w:t>
      </w:r>
      <w:proofErr w:type="gramStart"/>
      <w:r w:rsidRPr="00A5222E">
        <w:t>raising  invoice</w:t>
      </w:r>
      <w:proofErr w:type="gramEnd"/>
      <w:r w:rsidRPr="00A5222E">
        <w:t xml:space="preserve"> as indicated below: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068"/>
        <w:gridCol w:w="1800"/>
        <w:gridCol w:w="1710"/>
      </w:tblGrid>
      <w:tr w:rsidR="008E3A4A" w:rsidRPr="00A5222E" w:rsidTr="005F4D89">
        <w:tc>
          <w:tcPr>
            <w:tcW w:w="4068" w:type="dxa"/>
            <w:shd w:val="clear" w:color="auto" w:fill="948A54" w:themeFill="background2" w:themeFillShade="80"/>
          </w:tcPr>
          <w:p w:rsidR="008E3A4A" w:rsidRPr="00A5222E" w:rsidRDefault="008E3A4A" w:rsidP="008E3A4A">
            <w:pPr>
              <w:rPr>
                <w:b/>
              </w:rPr>
            </w:pPr>
            <w:r w:rsidRPr="00A5222E">
              <w:rPr>
                <w:b/>
              </w:rPr>
              <w:t>Milestone / Deliverable</w:t>
            </w:r>
          </w:p>
        </w:tc>
        <w:tc>
          <w:tcPr>
            <w:tcW w:w="1800" w:type="dxa"/>
            <w:shd w:val="clear" w:color="auto" w:fill="948A54" w:themeFill="background2" w:themeFillShade="80"/>
          </w:tcPr>
          <w:p w:rsidR="008E3A4A" w:rsidRPr="00A5222E" w:rsidRDefault="008E3A4A" w:rsidP="008E3A4A">
            <w:pPr>
              <w:rPr>
                <w:b/>
              </w:rPr>
            </w:pPr>
            <w:r w:rsidRPr="00A5222E">
              <w:rPr>
                <w:b/>
              </w:rPr>
              <w:t>Time Schedule (T being start date)</w:t>
            </w:r>
          </w:p>
        </w:tc>
        <w:tc>
          <w:tcPr>
            <w:tcW w:w="1710" w:type="dxa"/>
            <w:shd w:val="clear" w:color="auto" w:fill="948A54" w:themeFill="background2" w:themeFillShade="80"/>
          </w:tcPr>
          <w:p w:rsidR="008E3A4A" w:rsidRPr="00A5222E" w:rsidRDefault="008E3A4A" w:rsidP="008E3A4A">
            <w:pPr>
              <w:rPr>
                <w:b/>
              </w:rPr>
            </w:pPr>
            <w:r w:rsidRPr="00A5222E">
              <w:rPr>
                <w:b/>
              </w:rPr>
              <w:t>Payment % (of total value)</w:t>
            </w:r>
          </w:p>
        </w:tc>
      </w:tr>
      <w:tr w:rsidR="008E3A4A" w:rsidRPr="00A5222E" w:rsidTr="005F4D89">
        <w:tc>
          <w:tcPr>
            <w:tcW w:w="4068" w:type="dxa"/>
          </w:tcPr>
          <w:p w:rsidR="008E3A4A" w:rsidRPr="00BF071F" w:rsidRDefault="008E3A4A" w:rsidP="008E3A4A">
            <w:pPr>
              <w:pStyle w:val="ListParagraph"/>
              <w:numPr>
                <w:ilvl w:val="0"/>
                <w:numId w:val="7"/>
              </w:numPr>
              <w:contextualSpacing/>
              <w:rPr>
                <w:rFonts w:ascii="Times New Roman" w:hAnsi="Times New Roman"/>
                <w:sz w:val="24"/>
              </w:rPr>
            </w:pPr>
            <w:r w:rsidRPr="00BF071F">
              <w:rPr>
                <w:rFonts w:ascii="Times New Roman" w:hAnsi="Times New Roman"/>
                <w:sz w:val="24"/>
              </w:rPr>
              <w:t>Bid Management for Software Solution Provider</w:t>
            </w:r>
          </w:p>
        </w:tc>
        <w:tc>
          <w:tcPr>
            <w:tcW w:w="1800" w:type="dxa"/>
          </w:tcPr>
          <w:p w:rsidR="008E3A4A" w:rsidRPr="00BF071F" w:rsidRDefault="008E3A4A" w:rsidP="008E3A4A">
            <w:r w:rsidRPr="00BF071F">
              <w:t>T+1month</w:t>
            </w:r>
          </w:p>
        </w:tc>
        <w:tc>
          <w:tcPr>
            <w:tcW w:w="1710" w:type="dxa"/>
          </w:tcPr>
          <w:p w:rsidR="008E3A4A" w:rsidRPr="00BF071F" w:rsidRDefault="008E3A4A" w:rsidP="008E3A4A">
            <w:r w:rsidRPr="00BF071F">
              <w:t xml:space="preserve">10% </w:t>
            </w:r>
          </w:p>
        </w:tc>
      </w:tr>
      <w:tr w:rsidR="008E3A4A" w:rsidRPr="00A5222E" w:rsidTr="005F4D89">
        <w:tc>
          <w:tcPr>
            <w:tcW w:w="4068" w:type="dxa"/>
          </w:tcPr>
          <w:p w:rsidR="008E3A4A" w:rsidRPr="00BF071F" w:rsidRDefault="008E3A4A" w:rsidP="008E3A4A">
            <w:pPr>
              <w:pStyle w:val="ListParagraph"/>
              <w:numPr>
                <w:ilvl w:val="0"/>
                <w:numId w:val="3"/>
              </w:numPr>
              <w:contextualSpacing/>
              <w:rPr>
                <w:rFonts w:ascii="Times New Roman" w:hAnsi="Times New Roman"/>
                <w:sz w:val="24"/>
              </w:rPr>
            </w:pPr>
            <w:r w:rsidRPr="00BF071F">
              <w:rPr>
                <w:rFonts w:ascii="Times New Roman" w:hAnsi="Times New Roman"/>
                <w:sz w:val="24"/>
              </w:rPr>
              <w:t>Draft FRS/SRS; Review, Final Submission</w:t>
            </w:r>
          </w:p>
          <w:p w:rsidR="008E3A4A" w:rsidRPr="00BF071F" w:rsidRDefault="008E3A4A" w:rsidP="008E3A4A">
            <w:pPr>
              <w:pStyle w:val="ListParagraph"/>
              <w:numPr>
                <w:ilvl w:val="0"/>
                <w:numId w:val="3"/>
              </w:numPr>
              <w:contextualSpacing/>
              <w:rPr>
                <w:rFonts w:ascii="Times New Roman" w:hAnsi="Times New Roman"/>
                <w:sz w:val="24"/>
              </w:rPr>
            </w:pPr>
            <w:r w:rsidRPr="00BF071F">
              <w:rPr>
                <w:rFonts w:ascii="Times New Roman" w:hAnsi="Times New Roman"/>
                <w:sz w:val="24"/>
              </w:rPr>
              <w:t>Product Management Strategy Document for SRDH</w:t>
            </w:r>
          </w:p>
        </w:tc>
        <w:tc>
          <w:tcPr>
            <w:tcW w:w="1800" w:type="dxa"/>
          </w:tcPr>
          <w:p w:rsidR="008E3A4A" w:rsidRPr="00BF071F" w:rsidRDefault="008E3A4A" w:rsidP="008E3A4A">
            <w:r w:rsidRPr="00BF071F">
              <w:t>T+ 2 months</w:t>
            </w:r>
          </w:p>
        </w:tc>
        <w:tc>
          <w:tcPr>
            <w:tcW w:w="1710" w:type="dxa"/>
          </w:tcPr>
          <w:p w:rsidR="008E3A4A" w:rsidRPr="00BF071F" w:rsidRDefault="008E3A4A" w:rsidP="008E3A4A">
            <w:r w:rsidRPr="00BF071F">
              <w:t>15%</w:t>
            </w:r>
          </w:p>
        </w:tc>
      </w:tr>
      <w:tr w:rsidR="008E3A4A" w:rsidRPr="00A5222E" w:rsidTr="005F4D89">
        <w:tc>
          <w:tcPr>
            <w:tcW w:w="4068" w:type="dxa"/>
          </w:tcPr>
          <w:p w:rsidR="008E3A4A" w:rsidRPr="00BF071F" w:rsidRDefault="008E3A4A" w:rsidP="008E3A4A">
            <w:pPr>
              <w:pStyle w:val="ListParagraph"/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</w:rPr>
            </w:pPr>
            <w:r w:rsidRPr="00BF071F">
              <w:rPr>
                <w:rFonts w:ascii="Times New Roman" w:hAnsi="Times New Roman"/>
                <w:sz w:val="24"/>
              </w:rPr>
              <w:t>Review Design, Final DDS Submission</w:t>
            </w:r>
          </w:p>
          <w:p w:rsidR="008E3A4A" w:rsidRPr="00BF071F" w:rsidRDefault="008E3A4A" w:rsidP="008E3A4A">
            <w:pPr>
              <w:pStyle w:val="ListParagraph"/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</w:rPr>
            </w:pPr>
            <w:r w:rsidRPr="00BF071F">
              <w:rPr>
                <w:rFonts w:ascii="Times New Roman" w:hAnsi="Times New Roman"/>
                <w:sz w:val="24"/>
              </w:rPr>
              <w:t>Strategy Document for SRDH Adoption in States</w:t>
            </w:r>
          </w:p>
        </w:tc>
        <w:tc>
          <w:tcPr>
            <w:tcW w:w="1800" w:type="dxa"/>
          </w:tcPr>
          <w:p w:rsidR="008E3A4A" w:rsidRPr="00BF071F" w:rsidRDefault="008E3A4A" w:rsidP="008E3A4A">
            <w:r w:rsidRPr="00BF071F">
              <w:t>T+3 months</w:t>
            </w:r>
          </w:p>
        </w:tc>
        <w:tc>
          <w:tcPr>
            <w:tcW w:w="1710" w:type="dxa"/>
          </w:tcPr>
          <w:p w:rsidR="008E3A4A" w:rsidRPr="00BF071F" w:rsidRDefault="008E3A4A" w:rsidP="008E3A4A">
            <w:r w:rsidRPr="00BF071F">
              <w:t>20%</w:t>
            </w:r>
          </w:p>
        </w:tc>
      </w:tr>
      <w:tr w:rsidR="008E3A4A" w:rsidRPr="00A5222E" w:rsidTr="005F4D89">
        <w:tc>
          <w:tcPr>
            <w:tcW w:w="4068" w:type="dxa"/>
          </w:tcPr>
          <w:p w:rsidR="008E3A4A" w:rsidRPr="00BF071F" w:rsidRDefault="008E3A4A" w:rsidP="008E3A4A">
            <w:pPr>
              <w:pStyle w:val="ListParagraph"/>
              <w:numPr>
                <w:ilvl w:val="0"/>
                <w:numId w:val="5"/>
              </w:numPr>
              <w:contextualSpacing/>
              <w:rPr>
                <w:rFonts w:ascii="Times New Roman" w:hAnsi="Times New Roman"/>
                <w:sz w:val="24"/>
              </w:rPr>
            </w:pPr>
            <w:r w:rsidRPr="00BF071F">
              <w:rPr>
                <w:rFonts w:ascii="Times New Roman" w:hAnsi="Times New Roman"/>
                <w:sz w:val="24"/>
              </w:rPr>
              <w:t>Use Case Document for User Acceptance Testing</w:t>
            </w:r>
          </w:p>
          <w:p w:rsidR="008E3A4A" w:rsidRPr="00BF071F" w:rsidRDefault="008E3A4A" w:rsidP="008E3A4A">
            <w:pPr>
              <w:pStyle w:val="ListParagraph"/>
              <w:numPr>
                <w:ilvl w:val="0"/>
                <w:numId w:val="5"/>
              </w:numPr>
              <w:contextualSpacing/>
              <w:rPr>
                <w:rFonts w:ascii="Times New Roman" w:hAnsi="Times New Roman"/>
                <w:sz w:val="24"/>
              </w:rPr>
            </w:pPr>
            <w:r w:rsidRPr="00BF071F">
              <w:rPr>
                <w:rFonts w:ascii="Times New Roman" w:hAnsi="Times New Roman"/>
                <w:sz w:val="24"/>
              </w:rPr>
              <w:t>Review Software Framework</w:t>
            </w:r>
          </w:p>
          <w:p w:rsidR="008E3A4A" w:rsidRPr="00BF071F" w:rsidRDefault="008E3A4A" w:rsidP="008E3A4A">
            <w:pPr>
              <w:pStyle w:val="ListParagraph"/>
              <w:numPr>
                <w:ilvl w:val="0"/>
                <w:numId w:val="5"/>
              </w:numPr>
              <w:contextualSpacing/>
              <w:rPr>
                <w:rFonts w:ascii="Times New Roman" w:hAnsi="Times New Roman"/>
                <w:sz w:val="24"/>
              </w:rPr>
            </w:pPr>
            <w:proofErr w:type="spellStart"/>
            <w:r w:rsidRPr="00BF071F">
              <w:rPr>
                <w:rFonts w:ascii="Times New Roman" w:hAnsi="Times New Roman"/>
                <w:sz w:val="24"/>
              </w:rPr>
              <w:t>PoC</w:t>
            </w:r>
            <w:proofErr w:type="spellEnd"/>
            <w:r w:rsidRPr="00BF071F">
              <w:rPr>
                <w:rFonts w:ascii="Times New Roman" w:hAnsi="Times New Roman"/>
                <w:sz w:val="24"/>
              </w:rPr>
              <w:t xml:space="preserve"> Strategy Document</w:t>
            </w:r>
          </w:p>
        </w:tc>
        <w:tc>
          <w:tcPr>
            <w:tcW w:w="1800" w:type="dxa"/>
          </w:tcPr>
          <w:p w:rsidR="008E3A4A" w:rsidRPr="00BF071F" w:rsidRDefault="008E3A4A" w:rsidP="008E3A4A">
            <w:r w:rsidRPr="00BF071F">
              <w:t>T+4 months</w:t>
            </w:r>
          </w:p>
        </w:tc>
        <w:tc>
          <w:tcPr>
            <w:tcW w:w="1710" w:type="dxa"/>
          </w:tcPr>
          <w:p w:rsidR="008E3A4A" w:rsidRPr="00BF071F" w:rsidRDefault="008E3A4A" w:rsidP="008E3A4A">
            <w:r w:rsidRPr="00BF071F">
              <w:t>20%</w:t>
            </w:r>
          </w:p>
        </w:tc>
      </w:tr>
      <w:tr w:rsidR="008E3A4A" w:rsidRPr="00A5222E" w:rsidTr="005F4D89">
        <w:tc>
          <w:tcPr>
            <w:tcW w:w="4068" w:type="dxa"/>
          </w:tcPr>
          <w:p w:rsidR="008E3A4A" w:rsidRPr="00D27989" w:rsidRDefault="008E3A4A" w:rsidP="00D27989">
            <w:pPr>
              <w:pStyle w:val="ListParagraph"/>
              <w:numPr>
                <w:ilvl w:val="0"/>
                <w:numId w:val="5"/>
              </w:numPr>
              <w:contextualSpacing/>
              <w:rPr>
                <w:rFonts w:ascii="Times New Roman" w:hAnsi="Times New Roman"/>
                <w:sz w:val="24"/>
                <w:szCs w:val="20"/>
                <w:lang w:val="en-IN"/>
              </w:rPr>
            </w:pPr>
            <w:r w:rsidRPr="00D27989">
              <w:rPr>
                <w:rFonts w:ascii="Times New Roman" w:hAnsi="Times New Roman"/>
                <w:sz w:val="24"/>
                <w:szCs w:val="20"/>
                <w:lang w:val="en-IN"/>
              </w:rPr>
              <w:t xml:space="preserve">Institutional Framework Document for States to </w:t>
            </w:r>
            <w:proofErr w:type="spellStart"/>
            <w:r w:rsidRPr="00D27989">
              <w:rPr>
                <w:rFonts w:ascii="Times New Roman" w:hAnsi="Times New Roman"/>
                <w:sz w:val="24"/>
                <w:szCs w:val="20"/>
                <w:lang w:val="en-IN"/>
              </w:rPr>
              <w:t>deploySRDH</w:t>
            </w:r>
            <w:proofErr w:type="spellEnd"/>
          </w:p>
          <w:p w:rsidR="008E3A4A" w:rsidRPr="00D27989" w:rsidRDefault="008E3A4A" w:rsidP="00D27989">
            <w:pPr>
              <w:pStyle w:val="ListParagraph"/>
              <w:numPr>
                <w:ilvl w:val="0"/>
                <w:numId w:val="10"/>
              </w:numPr>
              <w:contextualSpacing/>
              <w:rPr>
                <w:rFonts w:ascii="Times New Roman" w:hAnsi="Times New Roman"/>
                <w:sz w:val="24"/>
                <w:szCs w:val="20"/>
                <w:lang w:val="en-IN"/>
              </w:rPr>
            </w:pPr>
            <w:r w:rsidRPr="00D27989">
              <w:rPr>
                <w:rFonts w:ascii="Times New Roman" w:hAnsi="Times New Roman"/>
                <w:sz w:val="24"/>
                <w:szCs w:val="20"/>
                <w:lang w:val="en-IN"/>
              </w:rPr>
              <w:t>UAT Report Submission</w:t>
            </w:r>
          </w:p>
          <w:p w:rsidR="008E3A4A" w:rsidRPr="00BF071F" w:rsidRDefault="008E3A4A" w:rsidP="00D27989">
            <w:pPr>
              <w:pStyle w:val="ListParagraph"/>
              <w:numPr>
                <w:ilvl w:val="0"/>
                <w:numId w:val="10"/>
              </w:numPr>
              <w:contextualSpacing/>
              <w:rPr>
                <w:rFonts w:ascii="Times New Roman" w:hAnsi="Times New Roman"/>
                <w:sz w:val="24"/>
              </w:rPr>
            </w:pPr>
            <w:proofErr w:type="spellStart"/>
            <w:r w:rsidRPr="00BF071F">
              <w:rPr>
                <w:rFonts w:ascii="Times New Roman" w:hAnsi="Times New Roman"/>
                <w:sz w:val="24"/>
              </w:rPr>
              <w:t>PoC</w:t>
            </w:r>
            <w:proofErr w:type="spellEnd"/>
            <w:r w:rsidRPr="00BF071F">
              <w:rPr>
                <w:rFonts w:ascii="Times New Roman" w:hAnsi="Times New Roman"/>
                <w:sz w:val="24"/>
              </w:rPr>
              <w:t xml:space="preserve"> Report Review and Submission</w:t>
            </w:r>
          </w:p>
        </w:tc>
        <w:tc>
          <w:tcPr>
            <w:tcW w:w="1800" w:type="dxa"/>
          </w:tcPr>
          <w:p w:rsidR="008E3A4A" w:rsidRPr="00BF071F" w:rsidRDefault="008E3A4A" w:rsidP="008E3A4A">
            <w:r w:rsidRPr="00BF071F">
              <w:t>T+5 months</w:t>
            </w:r>
          </w:p>
        </w:tc>
        <w:tc>
          <w:tcPr>
            <w:tcW w:w="1710" w:type="dxa"/>
          </w:tcPr>
          <w:p w:rsidR="008E3A4A" w:rsidRPr="00BF071F" w:rsidRDefault="008E3A4A" w:rsidP="008E3A4A">
            <w:r w:rsidRPr="00BF071F">
              <w:t>20%</w:t>
            </w:r>
          </w:p>
        </w:tc>
      </w:tr>
      <w:tr w:rsidR="008E3A4A" w:rsidRPr="00A5222E" w:rsidTr="005F4D89">
        <w:tc>
          <w:tcPr>
            <w:tcW w:w="4068" w:type="dxa"/>
          </w:tcPr>
          <w:p w:rsidR="008E3A4A" w:rsidRPr="00D27989" w:rsidRDefault="008E3A4A" w:rsidP="00D27989">
            <w:pPr>
              <w:pStyle w:val="ListParagraph"/>
              <w:numPr>
                <w:ilvl w:val="0"/>
                <w:numId w:val="10"/>
              </w:numPr>
              <w:contextualSpacing/>
              <w:rPr>
                <w:rFonts w:ascii="Times New Roman" w:hAnsi="Times New Roman"/>
                <w:sz w:val="24"/>
                <w:szCs w:val="20"/>
                <w:lang w:val="en-IN"/>
              </w:rPr>
            </w:pPr>
            <w:r w:rsidRPr="00D27989">
              <w:rPr>
                <w:rFonts w:ascii="Times New Roman" w:hAnsi="Times New Roman"/>
                <w:sz w:val="24"/>
                <w:szCs w:val="20"/>
                <w:lang w:val="en-IN"/>
              </w:rPr>
              <w:t>Project Completion Report</w:t>
            </w:r>
          </w:p>
          <w:p w:rsidR="008E3A4A" w:rsidRPr="00790822" w:rsidRDefault="008E3A4A" w:rsidP="00D27989">
            <w:pPr>
              <w:pStyle w:val="ListParagraph"/>
              <w:numPr>
                <w:ilvl w:val="0"/>
                <w:numId w:val="10"/>
              </w:numPr>
              <w:contextualSpacing/>
              <w:rPr>
                <w:rFonts w:ascii="Times New Roman" w:hAnsi="Times New Roman"/>
                <w:sz w:val="24"/>
              </w:rPr>
            </w:pPr>
            <w:r w:rsidRPr="00790822">
              <w:rPr>
                <w:rFonts w:ascii="Times New Roman" w:hAnsi="Times New Roman"/>
                <w:sz w:val="24"/>
              </w:rPr>
              <w:t>Applications Strategy Document</w:t>
            </w:r>
          </w:p>
        </w:tc>
        <w:tc>
          <w:tcPr>
            <w:tcW w:w="1800" w:type="dxa"/>
          </w:tcPr>
          <w:p w:rsidR="008E3A4A" w:rsidRPr="00790822" w:rsidRDefault="008E3A4A" w:rsidP="008E3A4A">
            <w:pPr>
              <w:rPr>
                <w:lang w:val="en-GB"/>
              </w:rPr>
            </w:pPr>
            <w:r w:rsidRPr="00790822">
              <w:rPr>
                <w:lang w:val="en-GB"/>
              </w:rPr>
              <w:t>T+6 months</w:t>
            </w:r>
          </w:p>
        </w:tc>
        <w:tc>
          <w:tcPr>
            <w:tcW w:w="1710" w:type="dxa"/>
          </w:tcPr>
          <w:p w:rsidR="008E3A4A" w:rsidRPr="00790822" w:rsidRDefault="008E3A4A" w:rsidP="008E3A4A">
            <w:pPr>
              <w:rPr>
                <w:lang w:val="en-GB"/>
              </w:rPr>
            </w:pPr>
            <w:r w:rsidRPr="00790822">
              <w:rPr>
                <w:lang w:val="en-GB"/>
              </w:rPr>
              <w:t>15%</w:t>
            </w:r>
          </w:p>
        </w:tc>
      </w:tr>
    </w:tbl>
    <w:p w:rsidR="00AF455C" w:rsidRDefault="00AF455C" w:rsidP="00AF455C">
      <w:pPr>
        <w:widowControl w:val="0"/>
        <w:autoSpaceDE w:val="0"/>
        <w:autoSpaceDN w:val="0"/>
        <w:adjustRightInd w:val="0"/>
        <w:spacing w:after="0"/>
        <w:ind w:right="-15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>Table 2(</w:t>
      </w:r>
      <w:r>
        <w:rPr>
          <w:b/>
          <w:bCs/>
        </w:rPr>
        <w:t>Revised clause/provision</w:t>
      </w:r>
      <w:r>
        <w:rPr>
          <w:b/>
          <w:bCs/>
          <w:sz w:val="23"/>
          <w:szCs w:val="23"/>
        </w:rPr>
        <w:t>)</w:t>
      </w:r>
    </w:p>
    <w:p w:rsidR="008E3A4A" w:rsidRPr="00A5222E" w:rsidRDefault="008E3A4A" w:rsidP="00AF455C">
      <w:pPr>
        <w:widowControl w:val="0"/>
        <w:autoSpaceDE w:val="0"/>
        <w:autoSpaceDN w:val="0"/>
        <w:adjustRightInd w:val="0"/>
        <w:spacing w:after="0"/>
        <w:ind w:right="-15"/>
      </w:pPr>
      <w:r w:rsidRPr="00A5222E">
        <w:t xml:space="preserve">Resource cost would be reimbursed at the rates for Tier 1 consultants, as decided by UIDAI at the time of empanelment, and as mentioned below: </w:t>
      </w:r>
    </w:p>
    <w:p w:rsidR="008E3A4A" w:rsidRPr="00A5222E" w:rsidRDefault="008E3A4A" w:rsidP="00AF455C">
      <w:pPr>
        <w:widowControl w:val="0"/>
        <w:autoSpaceDE w:val="0"/>
        <w:autoSpaceDN w:val="0"/>
        <w:adjustRightInd w:val="0"/>
        <w:spacing w:after="0"/>
        <w:ind w:right="-15"/>
      </w:pPr>
      <w:r w:rsidRPr="00A5222E">
        <w:t>Principal consultant: Rs. 3, 10,000p.m.</w:t>
      </w:r>
    </w:p>
    <w:p w:rsidR="008E3A4A" w:rsidRPr="00A5222E" w:rsidRDefault="008E3A4A" w:rsidP="00AF455C">
      <w:pPr>
        <w:widowControl w:val="0"/>
        <w:autoSpaceDE w:val="0"/>
        <w:autoSpaceDN w:val="0"/>
        <w:adjustRightInd w:val="0"/>
        <w:spacing w:after="0"/>
        <w:ind w:right="-15"/>
      </w:pPr>
      <w:r w:rsidRPr="00A5222E">
        <w:t>Consultants               : Rs. 2, 20,000p.m.</w:t>
      </w:r>
    </w:p>
    <w:p w:rsidR="008E3A4A" w:rsidRPr="00A5222E" w:rsidRDefault="008E3A4A" w:rsidP="00AF455C">
      <w:pPr>
        <w:widowControl w:val="0"/>
        <w:autoSpaceDE w:val="0"/>
        <w:autoSpaceDN w:val="0"/>
        <w:adjustRightInd w:val="0"/>
        <w:spacing w:after="0"/>
        <w:ind w:right="-15"/>
      </w:pPr>
      <w:r w:rsidRPr="00A5222E">
        <w:t>Payment will be made to selected bidder on deliverables / completion of mile stones on raising invoice as indicated below: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068"/>
        <w:gridCol w:w="1800"/>
        <w:gridCol w:w="1710"/>
      </w:tblGrid>
      <w:tr w:rsidR="008E3A4A" w:rsidRPr="00A5222E" w:rsidTr="005F4D89">
        <w:tc>
          <w:tcPr>
            <w:tcW w:w="4068" w:type="dxa"/>
            <w:shd w:val="clear" w:color="auto" w:fill="948A54" w:themeFill="background2" w:themeFillShade="80"/>
          </w:tcPr>
          <w:p w:rsidR="008E3A4A" w:rsidRPr="00A5222E" w:rsidRDefault="008E3A4A" w:rsidP="00AF455C">
            <w:pPr>
              <w:rPr>
                <w:b/>
              </w:rPr>
            </w:pPr>
            <w:r w:rsidRPr="00A5222E">
              <w:rPr>
                <w:b/>
              </w:rPr>
              <w:t>Milestone / Deliverable</w:t>
            </w:r>
          </w:p>
        </w:tc>
        <w:tc>
          <w:tcPr>
            <w:tcW w:w="1800" w:type="dxa"/>
            <w:shd w:val="clear" w:color="auto" w:fill="948A54" w:themeFill="background2" w:themeFillShade="80"/>
          </w:tcPr>
          <w:p w:rsidR="008E3A4A" w:rsidRPr="00A5222E" w:rsidRDefault="008E3A4A" w:rsidP="00AF455C">
            <w:pPr>
              <w:rPr>
                <w:b/>
              </w:rPr>
            </w:pPr>
            <w:r w:rsidRPr="00A5222E">
              <w:rPr>
                <w:b/>
              </w:rPr>
              <w:t>Time Schedule (T being start date)</w:t>
            </w:r>
          </w:p>
        </w:tc>
        <w:tc>
          <w:tcPr>
            <w:tcW w:w="1710" w:type="dxa"/>
            <w:shd w:val="clear" w:color="auto" w:fill="948A54" w:themeFill="background2" w:themeFillShade="80"/>
          </w:tcPr>
          <w:p w:rsidR="008E3A4A" w:rsidRPr="00A5222E" w:rsidRDefault="008E3A4A" w:rsidP="00AF455C">
            <w:pPr>
              <w:rPr>
                <w:b/>
              </w:rPr>
            </w:pPr>
            <w:r w:rsidRPr="00A5222E">
              <w:rPr>
                <w:b/>
              </w:rPr>
              <w:t>Payment % (of total value)</w:t>
            </w:r>
          </w:p>
        </w:tc>
      </w:tr>
      <w:tr w:rsidR="008E3A4A" w:rsidRPr="00A5222E" w:rsidTr="005F4D89">
        <w:tc>
          <w:tcPr>
            <w:tcW w:w="4068" w:type="dxa"/>
          </w:tcPr>
          <w:p w:rsidR="008E3A4A" w:rsidRPr="00AF455C" w:rsidRDefault="008E3A4A" w:rsidP="00AF455C">
            <w:pPr>
              <w:pStyle w:val="ListParagraph"/>
              <w:numPr>
                <w:ilvl w:val="0"/>
                <w:numId w:val="11"/>
              </w:numPr>
              <w:contextualSpacing/>
              <w:rPr>
                <w:rFonts w:ascii="Times New Roman" w:hAnsi="Times New Roman"/>
                <w:sz w:val="24"/>
                <w:szCs w:val="20"/>
                <w:lang w:val="en-IN"/>
              </w:rPr>
            </w:pPr>
            <w:r w:rsidRPr="00AF455C">
              <w:rPr>
                <w:rFonts w:ascii="Times New Roman" w:hAnsi="Times New Roman"/>
                <w:sz w:val="24"/>
                <w:szCs w:val="20"/>
                <w:lang w:val="en-IN"/>
              </w:rPr>
              <w:t>Bid Management for Software Solution Provider</w:t>
            </w:r>
          </w:p>
        </w:tc>
        <w:tc>
          <w:tcPr>
            <w:tcW w:w="1800" w:type="dxa"/>
          </w:tcPr>
          <w:p w:rsidR="008E3A4A" w:rsidRPr="00BF071F" w:rsidRDefault="008E3A4A" w:rsidP="00AF455C">
            <w:r w:rsidRPr="00BF071F">
              <w:t>T+1month</w:t>
            </w:r>
          </w:p>
        </w:tc>
        <w:tc>
          <w:tcPr>
            <w:tcW w:w="1710" w:type="dxa"/>
          </w:tcPr>
          <w:p w:rsidR="008E3A4A" w:rsidRPr="00BF071F" w:rsidRDefault="008E3A4A" w:rsidP="00AF455C">
            <w:r w:rsidRPr="00BF071F">
              <w:t xml:space="preserve">10% </w:t>
            </w:r>
          </w:p>
        </w:tc>
      </w:tr>
      <w:tr w:rsidR="008E3A4A" w:rsidRPr="00A5222E" w:rsidTr="005F4D89">
        <w:tc>
          <w:tcPr>
            <w:tcW w:w="4068" w:type="dxa"/>
          </w:tcPr>
          <w:p w:rsidR="00AF455C" w:rsidRDefault="008E3A4A" w:rsidP="00AF455C">
            <w:pPr>
              <w:pStyle w:val="ListParagraph"/>
              <w:numPr>
                <w:ilvl w:val="0"/>
                <w:numId w:val="12"/>
              </w:numPr>
              <w:contextualSpacing/>
              <w:rPr>
                <w:rFonts w:ascii="Times New Roman" w:hAnsi="Times New Roman"/>
                <w:sz w:val="24"/>
                <w:szCs w:val="20"/>
                <w:lang w:val="en-IN"/>
              </w:rPr>
            </w:pPr>
            <w:r w:rsidRPr="00AF455C">
              <w:rPr>
                <w:rFonts w:ascii="Times New Roman" w:hAnsi="Times New Roman"/>
                <w:sz w:val="24"/>
                <w:szCs w:val="20"/>
                <w:lang w:val="en-IN"/>
              </w:rPr>
              <w:t>FRS Documentation and Submission, SRS Review and Submission</w:t>
            </w:r>
          </w:p>
          <w:p w:rsidR="008E3A4A" w:rsidRPr="00AF455C" w:rsidRDefault="008E3A4A" w:rsidP="00AF455C">
            <w:pPr>
              <w:pStyle w:val="ListParagraph"/>
              <w:numPr>
                <w:ilvl w:val="0"/>
                <w:numId w:val="12"/>
              </w:numPr>
              <w:contextualSpacing/>
              <w:rPr>
                <w:rFonts w:ascii="Times New Roman" w:hAnsi="Times New Roman"/>
                <w:sz w:val="24"/>
                <w:szCs w:val="20"/>
                <w:lang w:val="en-IN"/>
              </w:rPr>
            </w:pPr>
            <w:r w:rsidRPr="00AF455C">
              <w:rPr>
                <w:rFonts w:ascii="Times New Roman" w:hAnsi="Times New Roman"/>
                <w:sz w:val="24"/>
                <w:szCs w:val="20"/>
                <w:lang w:val="en-IN"/>
              </w:rPr>
              <w:t>Product Management Strategy Document for SRDH</w:t>
            </w:r>
          </w:p>
          <w:p w:rsidR="008E3A4A" w:rsidRPr="00BF071F" w:rsidRDefault="008E3A4A" w:rsidP="008E3A4A">
            <w:pPr>
              <w:pStyle w:val="ListParagraph"/>
              <w:numPr>
                <w:ilvl w:val="0"/>
                <w:numId w:val="3"/>
              </w:numPr>
              <w:contextualSpacing/>
              <w:rPr>
                <w:rFonts w:ascii="Times New Roman" w:hAnsi="Times New Roman"/>
                <w:sz w:val="24"/>
              </w:rPr>
            </w:pPr>
            <w:r w:rsidRPr="00BF071F">
              <w:rPr>
                <w:rFonts w:ascii="Times New Roman" w:hAnsi="Times New Roman"/>
                <w:sz w:val="24"/>
              </w:rPr>
              <w:t>Strategy Document for SRDH Adoption in States</w:t>
            </w:r>
          </w:p>
        </w:tc>
        <w:tc>
          <w:tcPr>
            <w:tcW w:w="1800" w:type="dxa"/>
          </w:tcPr>
          <w:p w:rsidR="008E3A4A" w:rsidRPr="00BF071F" w:rsidRDefault="008E3A4A" w:rsidP="00AF455C">
            <w:r>
              <w:t>T+ 3</w:t>
            </w:r>
            <w:r w:rsidRPr="00BF071F">
              <w:t xml:space="preserve"> months</w:t>
            </w:r>
          </w:p>
        </w:tc>
        <w:tc>
          <w:tcPr>
            <w:tcW w:w="1710" w:type="dxa"/>
          </w:tcPr>
          <w:p w:rsidR="008E3A4A" w:rsidRPr="00BF071F" w:rsidRDefault="008E3A4A" w:rsidP="00AF455C">
            <w:r>
              <w:t>3</w:t>
            </w:r>
            <w:r w:rsidRPr="00BF071F">
              <w:t>5%</w:t>
            </w:r>
          </w:p>
        </w:tc>
      </w:tr>
      <w:tr w:rsidR="008E3A4A" w:rsidRPr="00A5222E" w:rsidTr="005F4D89">
        <w:tc>
          <w:tcPr>
            <w:tcW w:w="4068" w:type="dxa"/>
          </w:tcPr>
          <w:p w:rsidR="00AF455C" w:rsidRDefault="008E3A4A" w:rsidP="00AF455C">
            <w:pPr>
              <w:pStyle w:val="ListParagraph"/>
              <w:numPr>
                <w:ilvl w:val="0"/>
                <w:numId w:val="13"/>
              </w:numPr>
              <w:contextualSpacing/>
              <w:rPr>
                <w:rFonts w:ascii="Times New Roman" w:hAnsi="Times New Roman"/>
                <w:sz w:val="24"/>
                <w:szCs w:val="20"/>
                <w:lang w:val="en-IN"/>
              </w:rPr>
            </w:pPr>
            <w:r w:rsidRPr="00AF455C">
              <w:rPr>
                <w:rFonts w:ascii="Times New Roman" w:hAnsi="Times New Roman"/>
                <w:sz w:val="24"/>
                <w:szCs w:val="20"/>
                <w:lang w:val="en-IN"/>
              </w:rPr>
              <w:t>Test Case Document for User Acceptance Testing</w:t>
            </w:r>
          </w:p>
          <w:p w:rsidR="008E3A4A" w:rsidRPr="00AF455C" w:rsidRDefault="008E3A4A" w:rsidP="00AF455C">
            <w:pPr>
              <w:pStyle w:val="ListParagraph"/>
              <w:numPr>
                <w:ilvl w:val="0"/>
                <w:numId w:val="13"/>
              </w:numPr>
              <w:contextualSpacing/>
              <w:rPr>
                <w:rFonts w:ascii="Times New Roman" w:hAnsi="Times New Roman"/>
                <w:sz w:val="24"/>
                <w:szCs w:val="20"/>
                <w:lang w:val="en-IN"/>
              </w:rPr>
            </w:pPr>
            <w:r w:rsidRPr="00AF455C">
              <w:rPr>
                <w:rFonts w:ascii="Times New Roman" w:hAnsi="Times New Roman"/>
                <w:sz w:val="24"/>
                <w:szCs w:val="20"/>
                <w:lang w:val="en-IN"/>
              </w:rPr>
              <w:t>Review Software Solution</w:t>
            </w:r>
          </w:p>
          <w:p w:rsidR="008E3A4A" w:rsidRPr="00BF071F" w:rsidRDefault="008E3A4A" w:rsidP="00AF455C">
            <w:pPr>
              <w:pStyle w:val="ListParagraph"/>
              <w:numPr>
                <w:ilvl w:val="0"/>
                <w:numId w:val="12"/>
              </w:num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Pilot</w:t>
            </w:r>
            <w:r w:rsidRPr="00BF071F">
              <w:rPr>
                <w:rFonts w:ascii="Times New Roman" w:hAnsi="Times New Roman"/>
                <w:sz w:val="24"/>
              </w:rPr>
              <w:t xml:space="preserve"> Strategy Document</w:t>
            </w:r>
          </w:p>
        </w:tc>
        <w:tc>
          <w:tcPr>
            <w:tcW w:w="1800" w:type="dxa"/>
          </w:tcPr>
          <w:p w:rsidR="008E3A4A" w:rsidRPr="00BF071F" w:rsidRDefault="008E3A4A" w:rsidP="00AF455C">
            <w:r w:rsidRPr="00BF071F">
              <w:t>T+4 months</w:t>
            </w:r>
          </w:p>
        </w:tc>
        <w:tc>
          <w:tcPr>
            <w:tcW w:w="1710" w:type="dxa"/>
          </w:tcPr>
          <w:p w:rsidR="008E3A4A" w:rsidRPr="00BF071F" w:rsidRDefault="008E3A4A" w:rsidP="00AF455C">
            <w:r w:rsidRPr="00BF071F">
              <w:t>20%</w:t>
            </w:r>
          </w:p>
        </w:tc>
      </w:tr>
      <w:tr w:rsidR="008E3A4A" w:rsidRPr="00A5222E" w:rsidTr="005F4D89">
        <w:tc>
          <w:tcPr>
            <w:tcW w:w="4068" w:type="dxa"/>
          </w:tcPr>
          <w:p w:rsidR="008E3A4A" w:rsidRPr="00AF455C" w:rsidRDefault="008E3A4A" w:rsidP="00AF455C">
            <w:pPr>
              <w:pStyle w:val="ListParagraph"/>
              <w:numPr>
                <w:ilvl w:val="0"/>
                <w:numId w:val="14"/>
              </w:numPr>
              <w:contextualSpacing/>
              <w:rPr>
                <w:rFonts w:ascii="Times New Roman" w:hAnsi="Times New Roman"/>
                <w:szCs w:val="20"/>
                <w:lang w:val="en-IN"/>
              </w:rPr>
            </w:pPr>
            <w:r w:rsidRPr="00AF455C">
              <w:rPr>
                <w:rFonts w:ascii="Times New Roman" w:hAnsi="Times New Roman"/>
                <w:szCs w:val="20"/>
                <w:lang w:val="en-IN"/>
              </w:rPr>
              <w:t>Institutional Framework Document for States to deploy SRDH</w:t>
            </w:r>
          </w:p>
          <w:p w:rsidR="008E3A4A" w:rsidRPr="009C5FFE" w:rsidRDefault="008E3A4A" w:rsidP="00AF455C">
            <w:pPr>
              <w:pStyle w:val="ListParagraph"/>
              <w:numPr>
                <w:ilvl w:val="0"/>
                <w:numId w:val="14"/>
              </w:numPr>
              <w:contextualSpacing/>
              <w:rPr>
                <w:rFonts w:ascii="Times New Roman" w:hAnsi="Times New Roman"/>
                <w:sz w:val="24"/>
              </w:rPr>
            </w:pPr>
            <w:r w:rsidRPr="00BF071F">
              <w:rPr>
                <w:rFonts w:ascii="Times New Roman" w:hAnsi="Times New Roman"/>
                <w:sz w:val="24"/>
              </w:rPr>
              <w:t>UAT Report Submission</w:t>
            </w:r>
          </w:p>
        </w:tc>
        <w:tc>
          <w:tcPr>
            <w:tcW w:w="1800" w:type="dxa"/>
          </w:tcPr>
          <w:p w:rsidR="008E3A4A" w:rsidRPr="00BF071F" w:rsidRDefault="008E3A4A" w:rsidP="00AF455C">
            <w:r w:rsidRPr="00BF071F">
              <w:t>T+5 months</w:t>
            </w:r>
          </w:p>
        </w:tc>
        <w:tc>
          <w:tcPr>
            <w:tcW w:w="1710" w:type="dxa"/>
          </w:tcPr>
          <w:p w:rsidR="008E3A4A" w:rsidRPr="00BF071F" w:rsidRDefault="008E3A4A" w:rsidP="00AF455C">
            <w:r w:rsidRPr="00BF071F">
              <w:t>20%</w:t>
            </w:r>
          </w:p>
        </w:tc>
      </w:tr>
      <w:tr w:rsidR="008E3A4A" w:rsidRPr="00A5222E" w:rsidTr="005F4D89">
        <w:tc>
          <w:tcPr>
            <w:tcW w:w="4068" w:type="dxa"/>
          </w:tcPr>
          <w:p w:rsidR="008E3A4A" w:rsidRPr="009C5FFE" w:rsidRDefault="008E3A4A" w:rsidP="008E3A4A">
            <w:pPr>
              <w:pStyle w:val="ListParagraph"/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sz w:val="24"/>
              </w:rPr>
            </w:pPr>
            <w:r w:rsidRPr="00674AD8">
              <w:t>Pilot Report Review and Submission</w:t>
            </w:r>
          </w:p>
        </w:tc>
        <w:tc>
          <w:tcPr>
            <w:tcW w:w="1800" w:type="dxa"/>
          </w:tcPr>
          <w:p w:rsidR="008E3A4A" w:rsidRPr="00790822" w:rsidRDefault="008E3A4A" w:rsidP="00AF455C">
            <w:pPr>
              <w:rPr>
                <w:lang w:val="en-GB"/>
              </w:rPr>
            </w:pPr>
            <w:r w:rsidRPr="00790822">
              <w:rPr>
                <w:lang w:val="en-GB"/>
              </w:rPr>
              <w:t>T+6 months</w:t>
            </w:r>
          </w:p>
        </w:tc>
        <w:tc>
          <w:tcPr>
            <w:tcW w:w="1710" w:type="dxa"/>
          </w:tcPr>
          <w:p w:rsidR="008E3A4A" w:rsidRPr="00790822" w:rsidRDefault="008E3A4A" w:rsidP="00AF455C">
            <w:pPr>
              <w:rPr>
                <w:lang w:val="en-GB"/>
              </w:rPr>
            </w:pPr>
            <w:r w:rsidRPr="00790822">
              <w:rPr>
                <w:lang w:val="en-GB"/>
              </w:rPr>
              <w:t>15%</w:t>
            </w:r>
          </w:p>
        </w:tc>
      </w:tr>
    </w:tbl>
    <w:p w:rsidR="008E3A4A" w:rsidRDefault="008E3A4A" w:rsidP="00AF455C">
      <w:pPr>
        <w:spacing w:after="0" w:line="240" w:lineRule="auto"/>
        <w:jc w:val="both"/>
        <w:rPr>
          <w:b/>
          <w:bCs/>
          <w:sz w:val="23"/>
          <w:szCs w:val="23"/>
        </w:rPr>
      </w:pPr>
    </w:p>
    <w:sectPr w:rsidR="008E3A4A" w:rsidSect="008969EB">
      <w:pgSz w:w="16834" w:h="11909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144D"/>
    <w:multiLevelType w:val="hybridMultilevel"/>
    <w:tmpl w:val="A34E6C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12D5C"/>
    <w:multiLevelType w:val="multilevel"/>
    <w:tmpl w:val="9FA6412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1207D5D"/>
    <w:multiLevelType w:val="hybridMultilevel"/>
    <w:tmpl w:val="881644D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9822D9"/>
    <w:multiLevelType w:val="hybridMultilevel"/>
    <w:tmpl w:val="0A7EDA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24889"/>
    <w:multiLevelType w:val="hybridMultilevel"/>
    <w:tmpl w:val="01FEE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6D1413"/>
    <w:multiLevelType w:val="hybridMultilevel"/>
    <w:tmpl w:val="D536F5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915C80"/>
    <w:multiLevelType w:val="hybridMultilevel"/>
    <w:tmpl w:val="E7A2B7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183B4A"/>
    <w:multiLevelType w:val="hybridMultilevel"/>
    <w:tmpl w:val="9C4A6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F15086"/>
    <w:multiLevelType w:val="hybridMultilevel"/>
    <w:tmpl w:val="C73CD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6255BB"/>
    <w:multiLevelType w:val="hybridMultilevel"/>
    <w:tmpl w:val="D65635E6"/>
    <w:lvl w:ilvl="0" w:tplc="40881778">
      <w:start w:val="1"/>
      <w:numFmt w:val="lowerLetter"/>
      <w:lvlText w:val="(%1)"/>
      <w:lvlJc w:val="left"/>
      <w:pPr>
        <w:ind w:left="822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542" w:hanging="360"/>
      </w:pPr>
    </w:lvl>
    <w:lvl w:ilvl="2" w:tplc="0409001B" w:tentative="1">
      <w:start w:val="1"/>
      <w:numFmt w:val="lowerRoman"/>
      <w:lvlText w:val="%3."/>
      <w:lvlJc w:val="right"/>
      <w:pPr>
        <w:ind w:left="2262" w:hanging="180"/>
      </w:pPr>
    </w:lvl>
    <w:lvl w:ilvl="3" w:tplc="0409000F" w:tentative="1">
      <w:start w:val="1"/>
      <w:numFmt w:val="decimal"/>
      <w:lvlText w:val="%4."/>
      <w:lvlJc w:val="left"/>
      <w:pPr>
        <w:ind w:left="2982" w:hanging="360"/>
      </w:pPr>
    </w:lvl>
    <w:lvl w:ilvl="4" w:tplc="04090019" w:tentative="1">
      <w:start w:val="1"/>
      <w:numFmt w:val="lowerLetter"/>
      <w:lvlText w:val="%5."/>
      <w:lvlJc w:val="left"/>
      <w:pPr>
        <w:ind w:left="3702" w:hanging="360"/>
      </w:pPr>
    </w:lvl>
    <w:lvl w:ilvl="5" w:tplc="0409001B" w:tentative="1">
      <w:start w:val="1"/>
      <w:numFmt w:val="lowerRoman"/>
      <w:lvlText w:val="%6."/>
      <w:lvlJc w:val="right"/>
      <w:pPr>
        <w:ind w:left="4422" w:hanging="180"/>
      </w:pPr>
    </w:lvl>
    <w:lvl w:ilvl="6" w:tplc="0409000F" w:tentative="1">
      <w:start w:val="1"/>
      <w:numFmt w:val="decimal"/>
      <w:lvlText w:val="%7."/>
      <w:lvlJc w:val="left"/>
      <w:pPr>
        <w:ind w:left="5142" w:hanging="360"/>
      </w:pPr>
    </w:lvl>
    <w:lvl w:ilvl="7" w:tplc="04090019" w:tentative="1">
      <w:start w:val="1"/>
      <w:numFmt w:val="lowerLetter"/>
      <w:lvlText w:val="%8."/>
      <w:lvlJc w:val="left"/>
      <w:pPr>
        <w:ind w:left="5862" w:hanging="360"/>
      </w:pPr>
    </w:lvl>
    <w:lvl w:ilvl="8" w:tplc="04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0">
    <w:nsid w:val="66EF3696"/>
    <w:multiLevelType w:val="hybridMultilevel"/>
    <w:tmpl w:val="1C1EE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036D70"/>
    <w:multiLevelType w:val="hybridMultilevel"/>
    <w:tmpl w:val="E3640E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640B13"/>
    <w:multiLevelType w:val="hybridMultilevel"/>
    <w:tmpl w:val="EBA82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DB36BB"/>
    <w:multiLevelType w:val="hybridMultilevel"/>
    <w:tmpl w:val="ED8805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10"/>
  </w:num>
  <w:num w:numId="5">
    <w:abstractNumId w:val="3"/>
  </w:num>
  <w:num w:numId="6">
    <w:abstractNumId w:val="6"/>
  </w:num>
  <w:num w:numId="7">
    <w:abstractNumId w:val="13"/>
  </w:num>
  <w:num w:numId="8">
    <w:abstractNumId w:val="2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  <w:num w:numId="13">
    <w:abstractNumId w:val="7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D2B2D"/>
    <w:rsid w:val="000B1048"/>
    <w:rsid w:val="000F42DB"/>
    <w:rsid w:val="001140EE"/>
    <w:rsid w:val="00190227"/>
    <w:rsid w:val="001D4CBE"/>
    <w:rsid w:val="00235984"/>
    <w:rsid w:val="002A3EA3"/>
    <w:rsid w:val="002D2B2D"/>
    <w:rsid w:val="00393D3C"/>
    <w:rsid w:val="003A0C03"/>
    <w:rsid w:val="003D2286"/>
    <w:rsid w:val="006E3730"/>
    <w:rsid w:val="00741B17"/>
    <w:rsid w:val="007E43ED"/>
    <w:rsid w:val="008540E4"/>
    <w:rsid w:val="008969EB"/>
    <w:rsid w:val="008E3A4A"/>
    <w:rsid w:val="00947FAE"/>
    <w:rsid w:val="009C2F05"/>
    <w:rsid w:val="00A368E4"/>
    <w:rsid w:val="00AA330A"/>
    <w:rsid w:val="00AE5A26"/>
    <w:rsid w:val="00AF455C"/>
    <w:rsid w:val="00B17953"/>
    <w:rsid w:val="00B72520"/>
    <w:rsid w:val="00C10668"/>
    <w:rsid w:val="00C52DA1"/>
    <w:rsid w:val="00D27989"/>
    <w:rsid w:val="00D742E8"/>
    <w:rsid w:val="00E23564"/>
    <w:rsid w:val="00F5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984"/>
  </w:style>
  <w:style w:type="paragraph" w:styleId="Heading1">
    <w:name w:val="heading 1"/>
    <w:basedOn w:val="Normal"/>
    <w:next w:val="Normal"/>
    <w:link w:val="Heading1Char"/>
    <w:qFormat/>
    <w:rsid w:val="0019022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2B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aliases w:val="h,Header - HPS Document,En-tête SQ,ho,header odd,1 (not to be included in TOC),Chapter Name,ITT i,rh,RH,index,ContentsHeader,*Header"/>
    <w:basedOn w:val="Normal"/>
    <w:link w:val="HeaderChar1"/>
    <w:rsid w:val="002D2B2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uiPriority w:val="99"/>
    <w:semiHidden/>
    <w:rsid w:val="002D2B2D"/>
  </w:style>
  <w:style w:type="character" w:customStyle="1" w:styleId="HeaderChar1">
    <w:name w:val="Header Char1"/>
    <w:aliases w:val="h Char,Header - HPS Document Char,En-tête SQ Char,ho Char,header odd Char,1 (not to be included in TOC) Char,Chapter Name Char,ITT i Char,rh Char,RH Char,index Char,ContentsHeader Char,*Header Char"/>
    <w:link w:val="Header"/>
    <w:locked/>
    <w:rsid w:val="002D2B2D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190227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393D3C"/>
    <w:pPr>
      <w:spacing w:after="0" w:line="240" w:lineRule="auto"/>
      <w:ind w:left="720"/>
    </w:pPr>
    <w:rPr>
      <w:rFonts w:ascii="Cambria" w:eastAsia="Times New Roman" w:hAnsi="Cambria" w:cs="Times New Roman"/>
      <w:szCs w:val="24"/>
      <w:lang w:val="en-GB"/>
    </w:rPr>
  </w:style>
  <w:style w:type="table" w:styleId="TableGrid">
    <w:name w:val="Table Grid"/>
    <w:basedOn w:val="TableNormal"/>
    <w:uiPriority w:val="59"/>
    <w:rsid w:val="008E3A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IN"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4A89A-C1A6-41CA-ABB0-994BECAAD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839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Sameer Gupta, ADG</dc:creator>
  <cp:keywords/>
  <dc:description/>
  <cp:lastModifiedBy>Sameer Gupta</cp:lastModifiedBy>
  <cp:revision>22</cp:revision>
  <cp:lastPrinted>2011-08-17T04:23:00Z</cp:lastPrinted>
  <dcterms:created xsi:type="dcterms:W3CDTF">2011-08-16T16:41:00Z</dcterms:created>
  <dcterms:modified xsi:type="dcterms:W3CDTF">2011-08-19T12:32:00Z</dcterms:modified>
</cp:coreProperties>
</file>